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7D5DF" w14:textId="77777777" w:rsidR="005F2AB6" w:rsidRDefault="005F2AB6" w:rsidP="005F2AB6">
      <w:pPr>
        <w:spacing w:after="120"/>
        <w:jc w:val="center"/>
        <w:rPr>
          <w:rFonts w:ascii="Calibri" w:hAnsi="Calibri"/>
          <w:b/>
          <w:bCs/>
          <w:sz w:val="24"/>
          <w:szCs w:val="24"/>
        </w:rPr>
      </w:pPr>
      <w:r>
        <w:rPr>
          <w:rFonts w:ascii="Calibri" w:hAnsi="Calibri"/>
          <w:b/>
          <w:bCs/>
          <w:sz w:val="24"/>
          <w:szCs w:val="24"/>
        </w:rPr>
        <w:t xml:space="preserve">Regulation </w:t>
      </w:r>
      <w:r w:rsidR="00000505">
        <w:rPr>
          <w:rFonts w:ascii="Calibri" w:hAnsi="Calibri"/>
          <w:b/>
          <w:bCs/>
          <w:sz w:val="24"/>
          <w:szCs w:val="24"/>
        </w:rPr>
        <w:t xml:space="preserve">and policy </w:t>
      </w:r>
      <w:r w:rsidRPr="00B22932">
        <w:rPr>
          <w:rFonts w:ascii="Calibri" w:hAnsi="Calibri"/>
          <w:b/>
          <w:bCs/>
          <w:sz w:val="24"/>
          <w:szCs w:val="24"/>
        </w:rPr>
        <w:t>update for community and local energy stakeholders</w:t>
      </w:r>
      <w:r w:rsidR="004F7CC2">
        <w:rPr>
          <w:rFonts w:ascii="Calibri" w:hAnsi="Calibri"/>
          <w:b/>
          <w:bCs/>
          <w:sz w:val="24"/>
          <w:szCs w:val="24"/>
        </w:rPr>
        <w:t xml:space="preserve"> </w:t>
      </w:r>
      <w:r w:rsidR="004F7CC2" w:rsidRPr="00374FDB">
        <w:rPr>
          <w:rFonts w:ascii="Calibri" w:hAnsi="Calibri"/>
          <w:b/>
          <w:bCs/>
          <w:sz w:val="24"/>
          <w:szCs w:val="24"/>
          <w:highlight w:val="cyan"/>
        </w:rPr>
        <w:t>(</w:t>
      </w:r>
      <w:r w:rsidR="00791AA4">
        <w:rPr>
          <w:rFonts w:ascii="Calibri" w:hAnsi="Calibri"/>
          <w:b/>
          <w:bCs/>
          <w:sz w:val="24"/>
          <w:szCs w:val="24"/>
          <w:highlight w:val="cyan"/>
        </w:rPr>
        <w:t xml:space="preserve">December </w:t>
      </w:r>
      <w:r w:rsidR="00BC053F" w:rsidRPr="00374FDB">
        <w:rPr>
          <w:rFonts w:ascii="Calibri" w:hAnsi="Calibri"/>
          <w:b/>
          <w:bCs/>
          <w:sz w:val="24"/>
          <w:szCs w:val="24"/>
          <w:highlight w:val="cyan"/>
        </w:rPr>
        <w:t>2022</w:t>
      </w:r>
      <w:r w:rsidR="00A85294" w:rsidRPr="00374FDB">
        <w:rPr>
          <w:rFonts w:ascii="Calibri" w:hAnsi="Calibri"/>
          <w:b/>
          <w:bCs/>
          <w:sz w:val="24"/>
          <w:szCs w:val="24"/>
          <w:highlight w:val="cyan"/>
        </w:rPr>
        <w:t>)</w:t>
      </w:r>
    </w:p>
    <w:p w14:paraId="1924BAD5" w14:textId="77777777" w:rsidR="00BA4353" w:rsidRPr="00000505" w:rsidRDefault="00000505" w:rsidP="00000505">
      <w:pPr>
        <w:spacing w:after="120"/>
        <w:rPr>
          <w:rFonts w:ascii="Calibri" w:hAnsi="Calibri"/>
          <w:bCs/>
          <w:sz w:val="24"/>
          <w:szCs w:val="24"/>
        </w:rPr>
      </w:pPr>
      <w:r w:rsidRPr="00000505">
        <w:rPr>
          <w:rFonts w:ascii="Calibri" w:hAnsi="Calibri"/>
          <w:bCs/>
          <w:sz w:val="24"/>
          <w:szCs w:val="24"/>
        </w:rPr>
        <w:t xml:space="preserve">We are producing this document in response to stakeholder feedback to help highlight relevant regulation and </w:t>
      </w:r>
      <w:r w:rsidR="00E77657" w:rsidRPr="00000505">
        <w:rPr>
          <w:rFonts w:ascii="Calibri" w:hAnsi="Calibri"/>
          <w:bCs/>
          <w:sz w:val="24"/>
          <w:szCs w:val="24"/>
        </w:rPr>
        <w:t>policy</w:t>
      </w:r>
      <w:r w:rsidR="00E77657">
        <w:rPr>
          <w:rFonts w:ascii="Calibri" w:hAnsi="Calibri"/>
          <w:bCs/>
          <w:sz w:val="24"/>
          <w:szCs w:val="24"/>
        </w:rPr>
        <w:t xml:space="preserve"> and</w:t>
      </w:r>
      <w:r w:rsidRPr="00000505">
        <w:rPr>
          <w:rFonts w:ascii="Calibri" w:hAnsi="Calibri"/>
          <w:bCs/>
          <w:sz w:val="24"/>
          <w:szCs w:val="24"/>
        </w:rPr>
        <w:t xml:space="preserve"> provide context as to why it is important to community and local energy stakeholders. </w:t>
      </w:r>
      <w:r w:rsidR="005F2AB6" w:rsidRPr="00000505">
        <w:rPr>
          <w:rFonts w:ascii="Calibri" w:hAnsi="Calibri"/>
          <w:bCs/>
          <w:sz w:val="24"/>
          <w:szCs w:val="24"/>
        </w:rPr>
        <w:t xml:space="preserve">The electricity industry is going through a period of rapid development this </w:t>
      </w:r>
      <w:r w:rsidR="00610AB3">
        <w:rPr>
          <w:rFonts w:ascii="Calibri" w:hAnsi="Calibri"/>
          <w:bCs/>
          <w:sz w:val="24"/>
          <w:szCs w:val="24"/>
        </w:rPr>
        <w:t>is not</w:t>
      </w:r>
      <w:r w:rsidR="005F2AB6" w:rsidRPr="00000505">
        <w:rPr>
          <w:rFonts w:ascii="Calibri" w:hAnsi="Calibri"/>
          <w:bCs/>
          <w:sz w:val="24"/>
          <w:szCs w:val="24"/>
        </w:rPr>
        <w:t xml:space="preserve"> an exhaustive </w:t>
      </w:r>
      <w:r w:rsidR="001010E8" w:rsidRPr="00000505">
        <w:rPr>
          <w:rFonts w:ascii="Calibri" w:hAnsi="Calibri"/>
          <w:bCs/>
          <w:sz w:val="24"/>
          <w:szCs w:val="24"/>
        </w:rPr>
        <w:t>list</w:t>
      </w:r>
      <w:r w:rsidR="001010E8">
        <w:rPr>
          <w:rFonts w:ascii="Calibri" w:hAnsi="Calibri"/>
          <w:bCs/>
          <w:sz w:val="24"/>
          <w:szCs w:val="24"/>
        </w:rPr>
        <w:t xml:space="preserve"> but</w:t>
      </w:r>
      <w:r w:rsidR="005F2AB6" w:rsidRPr="00000505">
        <w:rPr>
          <w:rFonts w:ascii="Calibri" w:hAnsi="Calibri"/>
          <w:bCs/>
          <w:sz w:val="24"/>
          <w:szCs w:val="24"/>
        </w:rPr>
        <w:t xml:space="preserve"> will hopefully be a useful summary and prompt for further reading.</w:t>
      </w:r>
      <w:r w:rsidR="00BA4353">
        <w:rPr>
          <w:rFonts w:ascii="Calibri" w:hAnsi="Calibri"/>
          <w:bCs/>
          <w:sz w:val="24"/>
          <w:szCs w:val="24"/>
        </w:rPr>
        <w:t xml:space="preserve"> </w:t>
      </w:r>
      <w:r w:rsidR="0071004A">
        <w:rPr>
          <w:rFonts w:ascii="Calibri" w:hAnsi="Calibri"/>
          <w:bCs/>
          <w:sz w:val="24"/>
          <w:szCs w:val="24"/>
        </w:rPr>
        <w:t>Only t</w:t>
      </w:r>
      <w:r w:rsidR="00BA4353">
        <w:rPr>
          <w:rFonts w:ascii="Calibri" w:hAnsi="Calibri"/>
          <w:bCs/>
          <w:sz w:val="24"/>
          <w:szCs w:val="24"/>
        </w:rPr>
        <w:t>he updated section</w:t>
      </w:r>
      <w:r w:rsidR="0071004A">
        <w:rPr>
          <w:rFonts w:ascii="Calibri" w:hAnsi="Calibri"/>
          <w:bCs/>
          <w:sz w:val="24"/>
          <w:szCs w:val="24"/>
        </w:rPr>
        <w:t>s are included here</w:t>
      </w:r>
      <w:r w:rsidR="00327C07">
        <w:rPr>
          <w:rFonts w:ascii="Calibri" w:hAnsi="Calibri"/>
          <w:bCs/>
          <w:sz w:val="24"/>
          <w:szCs w:val="24"/>
        </w:rPr>
        <w:t xml:space="preserve"> noted in blue highlight</w:t>
      </w:r>
      <w:r w:rsidR="00885ED0">
        <w:rPr>
          <w:rFonts w:ascii="Calibri" w:hAnsi="Calibri"/>
          <w:bCs/>
          <w:sz w:val="24"/>
          <w:szCs w:val="24"/>
        </w:rPr>
        <w:t>.</w:t>
      </w:r>
    </w:p>
    <w:tbl>
      <w:tblPr>
        <w:tblStyle w:val="TableGrid"/>
        <w:tblpPr w:leftFromText="180" w:rightFromText="180" w:vertAnchor="page" w:horzAnchor="margin" w:tblpY="4084"/>
        <w:tblW w:w="14029" w:type="dxa"/>
        <w:tblLayout w:type="fixed"/>
        <w:tblLook w:val="04A0" w:firstRow="1" w:lastRow="0" w:firstColumn="1" w:lastColumn="0" w:noHBand="0" w:noVBand="1"/>
      </w:tblPr>
      <w:tblGrid>
        <w:gridCol w:w="1696"/>
        <w:gridCol w:w="2552"/>
        <w:gridCol w:w="1276"/>
        <w:gridCol w:w="4961"/>
        <w:gridCol w:w="3544"/>
      </w:tblGrid>
      <w:tr w:rsidR="00CD5FBF" w:rsidRPr="00315E1C" w14:paraId="3082C8B1" w14:textId="77777777" w:rsidTr="00767745">
        <w:tc>
          <w:tcPr>
            <w:tcW w:w="1696" w:type="dxa"/>
            <w:tcBorders>
              <w:bottom w:val="single" w:sz="4" w:space="0" w:color="auto"/>
            </w:tcBorders>
            <w:shd w:val="pct10" w:color="auto" w:fill="auto"/>
          </w:tcPr>
          <w:p w14:paraId="312049BB" w14:textId="77777777" w:rsidR="00000505" w:rsidRPr="00F36E03" w:rsidRDefault="00000505" w:rsidP="00000505">
            <w:pPr>
              <w:spacing w:after="120"/>
              <w:jc w:val="left"/>
              <w:rPr>
                <w:rFonts w:ascii="Calibri" w:hAnsi="Calibri"/>
                <w:b/>
                <w:bCs/>
              </w:rPr>
            </w:pPr>
            <w:r w:rsidRPr="00F36E03">
              <w:rPr>
                <w:rFonts w:ascii="Calibri" w:hAnsi="Calibri"/>
                <w:b/>
                <w:bCs/>
              </w:rPr>
              <w:t xml:space="preserve">Name of regulation / policy </w:t>
            </w:r>
          </w:p>
        </w:tc>
        <w:tc>
          <w:tcPr>
            <w:tcW w:w="2552" w:type="dxa"/>
            <w:shd w:val="pct10" w:color="auto" w:fill="auto"/>
          </w:tcPr>
          <w:p w14:paraId="3EB9684B" w14:textId="77777777" w:rsidR="00000505" w:rsidRPr="00315E1C" w:rsidRDefault="00000505" w:rsidP="00000505">
            <w:pPr>
              <w:spacing w:after="120"/>
              <w:jc w:val="left"/>
              <w:rPr>
                <w:rFonts w:ascii="Calibri" w:hAnsi="Calibri"/>
                <w:b/>
                <w:bCs/>
              </w:rPr>
            </w:pPr>
            <w:r w:rsidRPr="00315E1C">
              <w:rPr>
                <w:rFonts w:ascii="Calibri" w:hAnsi="Calibri"/>
                <w:b/>
                <w:bCs/>
              </w:rPr>
              <w:t>What is it?</w:t>
            </w:r>
          </w:p>
        </w:tc>
        <w:tc>
          <w:tcPr>
            <w:tcW w:w="1276" w:type="dxa"/>
            <w:shd w:val="pct10" w:color="auto" w:fill="auto"/>
          </w:tcPr>
          <w:p w14:paraId="69E2EB85" w14:textId="77777777" w:rsidR="00000505" w:rsidRPr="00315E1C" w:rsidRDefault="00000505" w:rsidP="00000505">
            <w:pPr>
              <w:spacing w:after="120"/>
              <w:jc w:val="left"/>
              <w:rPr>
                <w:rFonts w:ascii="Calibri" w:hAnsi="Calibri"/>
                <w:b/>
                <w:bCs/>
              </w:rPr>
            </w:pPr>
            <w:r w:rsidRPr="00315E1C">
              <w:rPr>
                <w:rFonts w:ascii="Calibri" w:hAnsi="Calibri"/>
                <w:b/>
                <w:bCs/>
              </w:rPr>
              <w:t>Owner</w:t>
            </w:r>
          </w:p>
        </w:tc>
        <w:tc>
          <w:tcPr>
            <w:tcW w:w="4961" w:type="dxa"/>
            <w:shd w:val="pct10" w:color="auto" w:fill="auto"/>
          </w:tcPr>
          <w:p w14:paraId="41724B32" w14:textId="77777777" w:rsidR="00000505" w:rsidRPr="00315E1C" w:rsidRDefault="00000505" w:rsidP="00000505">
            <w:pPr>
              <w:spacing w:after="120"/>
              <w:jc w:val="left"/>
              <w:rPr>
                <w:rFonts w:ascii="Calibri" w:hAnsi="Calibri"/>
                <w:b/>
                <w:bCs/>
              </w:rPr>
            </w:pPr>
            <w:r w:rsidRPr="00315E1C">
              <w:rPr>
                <w:rFonts w:ascii="Calibri" w:hAnsi="Calibri"/>
                <w:b/>
                <w:bCs/>
              </w:rPr>
              <w:t>What stage is it at?</w:t>
            </w:r>
          </w:p>
        </w:tc>
        <w:tc>
          <w:tcPr>
            <w:tcW w:w="3544" w:type="dxa"/>
            <w:shd w:val="pct10" w:color="auto" w:fill="auto"/>
          </w:tcPr>
          <w:p w14:paraId="58BB9CFF" w14:textId="77777777" w:rsidR="00000505" w:rsidRPr="00315E1C" w:rsidRDefault="00000505" w:rsidP="00000505">
            <w:pPr>
              <w:spacing w:after="120"/>
              <w:jc w:val="left"/>
              <w:rPr>
                <w:rFonts w:ascii="Calibri" w:hAnsi="Calibri"/>
                <w:b/>
                <w:bCs/>
              </w:rPr>
            </w:pPr>
            <w:r w:rsidRPr="00315E1C">
              <w:rPr>
                <w:rFonts w:ascii="Calibri" w:hAnsi="Calibri"/>
                <w:b/>
                <w:bCs/>
              </w:rPr>
              <w:t>Why it matters</w:t>
            </w:r>
          </w:p>
        </w:tc>
      </w:tr>
      <w:tr w:rsidR="00474591" w:rsidRPr="00204E2D" w14:paraId="0EDA8E33" w14:textId="77777777" w:rsidTr="00767745">
        <w:tc>
          <w:tcPr>
            <w:tcW w:w="1696" w:type="dxa"/>
            <w:shd w:val="pct12" w:color="auto" w:fill="auto"/>
          </w:tcPr>
          <w:p w14:paraId="2459F0EA" w14:textId="77777777" w:rsidR="00474591" w:rsidRPr="008A08A6" w:rsidRDefault="00474591" w:rsidP="009355D6">
            <w:pPr>
              <w:spacing w:after="120"/>
              <w:jc w:val="left"/>
            </w:pPr>
            <w:r w:rsidRPr="008A08A6">
              <w:t xml:space="preserve">RIIO-ED2 </w:t>
            </w:r>
            <w:r w:rsidR="004F2E6D" w:rsidRPr="00791AA4">
              <w:t>Price Control Setting</w:t>
            </w:r>
          </w:p>
        </w:tc>
        <w:tc>
          <w:tcPr>
            <w:tcW w:w="2552" w:type="dxa"/>
          </w:tcPr>
          <w:p w14:paraId="297C06D8" w14:textId="77777777" w:rsidR="00474591" w:rsidRPr="008A08A6" w:rsidRDefault="00474591" w:rsidP="009355D6">
            <w:pPr>
              <w:spacing w:after="120"/>
              <w:jc w:val="left"/>
              <w:rPr>
                <w:rFonts w:ascii="Calibri" w:hAnsi="Calibri"/>
                <w:bCs/>
              </w:rPr>
            </w:pPr>
            <w:r w:rsidRPr="008A08A6">
              <w:rPr>
                <w:rFonts w:ascii="Calibri" w:hAnsi="Calibri"/>
                <w:bCs/>
              </w:rPr>
              <w:t xml:space="preserve">Ofgem’s </w:t>
            </w:r>
            <w:r w:rsidR="004F2E6D">
              <w:rPr>
                <w:rFonts w:ascii="Calibri" w:hAnsi="Calibri"/>
                <w:bCs/>
              </w:rPr>
              <w:t>process of taking our</w:t>
            </w:r>
            <w:r w:rsidRPr="008A08A6">
              <w:rPr>
                <w:rFonts w:ascii="Calibri" w:hAnsi="Calibri"/>
                <w:bCs/>
              </w:rPr>
              <w:t xml:space="preserve"> ED2 Business Plan for Apr-23 to Mar-28</w:t>
            </w:r>
            <w:r w:rsidR="004F2E6D">
              <w:rPr>
                <w:rFonts w:ascii="Calibri" w:hAnsi="Calibri"/>
                <w:bCs/>
              </w:rPr>
              <w:t xml:space="preserve"> and turning it into the regulatory outputs, incentives and allowed revenues we collect.</w:t>
            </w:r>
          </w:p>
        </w:tc>
        <w:tc>
          <w:tcPr>
            <w:tcW w:w="1276" w:type="dxa"/>
          </w:tcPr>
          <w:p w14:paraId="161F4B09" w14:textId="77777777" w:rsidR="00474591" w:rsidRPr="008A08A6" w:rsidRDefault="00474591" w:rsidP="009355D6">
            <w:pPr>
              <w:spacing w:after="120"/>
              <w:jc w:val="left"/>
              <w:rPr>
                <w:rFonts w:ascii="Calibri" w:hAnsi="Calibri"/>
                <w:bCs/>
              </w:rPr>
            </w:pPr>
            <w:r w:rsidRPr="008A08A6">
              <w:rPr>
                <w:rFonts w:ascii="Calibri" w:hAnsi="Calibri"/>
                <w:bCs/>
              </w:rPr>
              <w:t>Ofgem</w:t>
            </w:r>
          </w:p>
        </w:tc>
        <w:tc>
          <w:tcPr>
            <w:tcW w:w="4961" w:type="dxa"/>
          </w:tcPr>
          <w:p w14:paraId="498E6572" w14:textId="77777777" w:rsidR="00791AA4" w:rsidRDefault="008A08A6" w:rsidP="00AC0093">
            <w:pPr>
              <w:rPr>
                <w:b/>
              </w:rPr>
            </w:pPr>
            <w:r w:rsidRPr="0024613A">
              <w:rPr>
                <w:b/>
                <w:highlight w:val="cyan"/>
              </w:rPr>
              <w:t>U</w:t>
            </w:r>
            <w:r w:rsidR="00047320" w:rsidRPr="0024613A">
              <w:rPr>
                <w:b/>
                <w:highlight w:val="cyan"/>
              </w:rPr>
              <w:t>pdate</w:t>
            </w:r>
            <w:r w:rsidR="00791AA4" w:rsidRPr="00902A83">
              <w:rPr>
                <w:b/>
                <w:highlight w:val="cyan"/>
              </w:rPr>
              <w:t>:</w:t>
            </w:r>
            <w:r w:rsidR="00902A83" w:rsidRPr="00902A83">
              <w:rPr>
                <w:b/>
                <w:highlight w:val="cyan"/>
              </w:rPr>
              <w:t xml:space="preserve"> 30 November Ofgem published Final Determination decisions for DNO price controls to run from April 2023 to March 2028.</w:t>
            </w:r>
            <w:r w:rsidR="003D398D">
              <w:rPr>
                <w:b/>
              </w:rPr>
              <w:t xml:space="preserve"> </w:t>
            </w:r>
          </w:p>
          <w:p w14:paraId="76D6A3B2" w14:textId="77777777" w:rsidR="008A08A6" w:rsidRPr="00791AA4" w:rsidRDefault="00791AA4" w:rsidP="00AC0093">
            <w:r w:rsidRPr="00791AA4">
              <w:t xml:space="preserve">Sep-22 - </w:t>
            </w:r>
            <w:r w:rsidR="004F2E6D" w:rsidRPr="00791AA4">
              <w:t xml:space="preserve">Ofgem issued </w:t>
            </w:r>
            <w:r w:rsidRPr="00791AA4">
              <w:t>its</w:t>
            </w:r>
            <w:r w:rsidR="004F2E6D" w:rsidRPr="00791AA4">
              <w:t xml:space="preserve"> Draft Determination </w:t>
            </w:r>
            <w:r w:rsidRPr="00791AA4">
              <w:t>at the</w:t>
            </w:r>
            <w:r w:rsidR="004F2E6D" w:rsidRPr="00791AA4">
              <w:t xml:space="preserve"> end of June which available on their website. Stakeholders responded at the end of August and Ofgem is now working through these toward their final decision, </w:t>
            </w:r>
            <w:r w:rsidRPr="00791AA4">
              <w:t>referred</w:t>
            </w:r>
            <w:r w:rsidR="004F2E6D" w:rsidRPr="00791AA4">
              <w:t xml:space="preserve"> to as the “Final Determination” that is currently expected to be published on or shortly after 30 November 2022.</w:t>
            </w:r>
          </w:p>
          <w:p w14:paraId="2352E957" w14:textId="77777777" w:rsidR="00474591" w:rsidRPr="008A08A6" w:rsidRDefault="00474591" w:rsidP="00AC0093"/>
        </w:tc>
        <w:tc>
          <w:tcPr>
            <w:tcW w:w="3544" w:type="dxa"/>
            <w:vAlign w:val="center"/>
          </w:tcPr>
          <w:p w14:paraId="3ECE63E1" w14:textId="77777777" w:rsidR="00474591" w:rsidRPr="008A08A6" w:rsidRDefault="00767745" w:rsidP="009355D6">
            <w:pPr>
              <w:spacing w:after="120"/>
              <w:jc w:val="left"/>
              <w:rPr>
                <w:rFonts w:ascii="Calibri" w:hAnsi="Calibri"/>
                <w:bCs/>
              </w:rPr>
            </w:pPr>
            <w:r w:rsidRPr="008A08A6">
              <w:rPr>
                <w:rFonts w:ascii="Calibri" w:hAnsi="Calibri"/>
                <w:bCs/>
              </w:rPr>
              <w:t xml:space="preserve">Draft determinations precede Ofgem’s final decisions (final determination) on the package of services and funding for these for the 2023 to 2028 period. </w:t>
            </w:r>
            <w:r w:rsidR="004F2E6D">
              <w:rPr>
                <w:rFonts w:ascii="Calibri" w:hAnsi="Calibri"/>
                <w:bCs/>
              </w:rPr>
              <w:t xml:space="preserve">Final Determination are the end of the Ofgem led process setting the outputs and incentives for Electricity North West to deliver between 2023 and 2028, as well as Ofgem’s view of the revenue to collect from consumers. </w:t>
            </w:r>
          </w:p>
        </w:tc>
      </w:tr>
      <w:tr w:rsidR="00481B6B" w:rsidRPr="00204E2D" w14:paraId="3B120F81" w14:textId="77777777" w:rsidTr="00767745">
        <w:tc>
          <w:tcPr>
            <w:tcW w:w="1696" w:type="dxa"/>
            <w:shd w:val="pct12" w:color="auto" w:fill="auto"/>
          </w:tcPr>
          <w:p w14:paraId="718DFDBC" w14:textId="77777777" w:rsidR="00481B6B" w:rsidRPr="00481B6B" w:rsidRDefault="00791AA4" w:rsidP="009355D6">
            <w:pPr>
              <w:spacing w:after="120"/>
              <w:jc w:val="left"/>
              <w:rPr>
                <w:b/>
              </w:rPr>
            </w:pPr>
            <w:r>
              <w:rPr>
                <w:b/>
              </w:rPr>
              <w:lastRenderedPageBreak/>
              <w:t xml:space="preserve">BSC Modification </w:t>
            </w:r>
            <w:r w:rsidR="00481B6B" w:rsidRPr="00481B6B">
              <w:rPr>
                <w:b/>
              </w:rPr>
              <w:t>P441 'Creation of Complex Site Classes</w:t>
            </w:r>
          </w:p>
        </w:tc>
        <w:tc>
          <w:tcPr>
            <w:tcW w:w="2552" w:type="dxa"/>
          </w:tcPr>
          <w:p w14:paraId="6F4C12E0" w14:textId="77777777" w:rsidR="00481B6B" w:rsidRPr="00791AA4" w:rsidRDefault="00481B6B" w:rsidP="009355D6">
            <w:pPr>
              <w:spacing w:after="120"/>
              <w:jc w:val="left"/>
              <w:rPr>
                <w:rFonts w:ascii="Calibri" w:hAnsi="Calibri"/>
                <w:bCs/>
              </w:rPr>
            </w:pPr>
            <w:proofErr w:type="spellStart"/>
            <w:r w:rsidRPr="00791AA4">
              <w:rPr>
                <w:rFonts w:ascii="Calibri" w:hAnsi="Calibri"/>
                <w:bCs/>
              </w:rPr>
              <w:t>Elexon</w:t>
            </w:r>
            <w:proofErr w:type="spellEnd"/>
            <w:r w:rsidRPr="00791AA4">
              <w:rPr>
                <w:rFonts w:ascii="Calibri" w:hAnsi="Calibri"/>
                <w:bCs/>
              </w:rPr>
              <w:t xml:space="preserve"> has raised a proposed modification to introduce a change to the Balancing and Settlement to introduce specific classes of Complex Sites to support the development of local energy schemes.</w:t>
            </w:r>
          </w:p>
        </w:tc>
        <w:tc>
          <w:tcPr>
            <w:tcW w:w="1276" w:type="dxa"/>
          </w:tcPr>
          <w:p w14:paraId="547D05B3" w14:textId="77777777" w:rsidR="00481B6B" w:rsidRPr="008A08A6" w:rsidRDefault="00481B6B" w:rsidP="009355D6">
            <w:pPr>
              <w:spacing w:after="120"/>
              <w:jc w:val="left"/>
              <w:rPr>
                <w:rFonts w:ascii="Calibri" w:hAnsi="Calibri"/>
                <w:bCs/>
              </w:rPr>
            </w:pPr>
            <w:proofErr w:type="spellStart"/>
            <w:r>
              <w:rPr>
                <w:rFonts w:ascii="Calibri" w:hAnsi="Calibri"/>
                <w:bCs/>
              </w:rPr>
              <w:t>Elexon</w:t>
            </w:r>
            <w:proofErr w:type="spellEnd"/>
          </w:p>
        </w:tc>
        <w:tc>
          <w:tcPr>
            <w:tcW w:w="4961" w:type="dxa"/>
          </w:tcPr>
          <w:p w14:paraId="5B507446" w14:textId="619F946D" w:rsidR="00791AA4" w:rsidRPr="00791AA4" w:rsidRDefault="00791AA4" w:rsidP="006B7E60">
            <w:pPr>
              <w:rPr>
                <w:b/>
                <w:highlight w:val="cyan"/>
              </w:rPr>
            </w:pPr>
            <w:r w:rsidRPr="00791AA4">
              <w:rPr>
                <w:b/>
                <w:highlight w:val="cyan"/>
              </w:rPr>
              <w:t xml:space="preserve">Update: </w:t>
            </w:r>
            <w:r w:rsidR="006B7E60" w:rsidRPr="00791AA4">
              <w:rPr>
                <w:b/>
                <w:highlight w:val="cyan"/>
              </w:rPr>
              <w:t xml:space="preserve"> Update: </w:t>
            </w:r>
            <w:r w:rsidR="006B7E60">
              <w:rPr>
                <w:b/>
                <w:highlight w:val="cyan"/>
              </w:rPr>
              <w:t>further working groups have taken place on 6</w:t>
            </w:r>
            <w:bookmarkStart w:id="0" w:name="_GoBack"/>
            <w:bookmarkEnd w:id="0"/>
            <w:r w:rsidR="006B7E60">
              <w:rPr>
                <w:b/>
                <w:highlight w:val="cyan"/>
              </w:rPr>
              <w:t xml:space="preserve"> December. This covered the impact of class 5 Complex sites on Network and BSC charges.</w:t>
            </w:r>
          </w:p>
          <w:p w14:paraId="38898FE0" w14:textId="77777777" w:rsidR="00481B6B" w:rsidRPr="00791AA4" w:rsidRDefault="00481B6B" w:rsidP="00AC0093">
            <w:r w:rsidRPr="00791AA4">
              <w:t>The change was raised in July and is being developed in a series of working groups. The first took place in August and the second is scheduled for October.</w:t>
            </w:r>
          </w:p>
          <w:p w14:paraId="1061542D" w14:textId="77777777" w:rsidR="000E5DDF" w:rsidRPr="00791AA4" w:rsidRDefault="000E5DDF" w:rsidP="000E5DDF">
            <w:r w:rsidRPr="00791AA4">
              <w:t xml:space="preserve">The proposed change would be implemented through a document change only, so implementation </w:t>
            </w:r>
          </w:p>
          <w:p w14:paraId="00E706FC" w14:textId="77777777" w:rsidR="00481B6B" w:rsidRPr="000E5DDF" w:rsidRDefault="000E5DDF" w:rsidP="000E5DDF">
            <w:pPr>
              <w:rPr>
                <w:highlight w:val="cyan"/>
              </w:rPr>
            </w:pPr>
            <w:r w:rsidRPr="00791AA4">
              <w:t>should be at the next possible BSC release post Ofgem’s final decision (29 June 2023, as part of the June 2023 Standard BSC Release).</w:t>
            </w:r>
          </w:p>
        </w:tc>
        <w:tc>
          <w:tcPr>
            <w:tcW w:w="3544" w:type="dxa"/>
            <w:vAlign w:val="center"/>
          </w:tcPr>
          <w:p w14:paraId="3A03B3B6" w14:textId="77777777" w:rsidR="00481B6B" w:rsidRPr="00791AA4" w:rsidRDefault="000E5DDF" w:rsidP="009355D6">
            <w:pPr>
              <w:spacing w:after="120"/>
              <w:jc w:val="left"/>
              <w:rPr>
                <w:rFonts w:ascii="Calibri" w:hAnsi="Calibri"/>
                <w:bCs/>
              </w:rPr>
            </w:pPr>
            <w:r w:rsidRPr="00791AA4">
              <w:t>P441 would enable consumers to more directly interact with the energy system via Class 5 Complex Sites and associated local energy schemes. It would provide a simple means for greater participation and means to reduce bills without investment from consumers - particularly relevant for the fuel poor. It would also enable more income to be retained within local economies.</w:t>
            </w:r>
          </w:p>
        </w:tc>
      </w:tr>
      <w:tr w:rsidR="009355D6" w:rsidRPr="00204E2D" w14:paraId="700B4FAB" w14:textId="77777777" w:rsidTr="00767745">
        <w:tc>
          <w:tcPr>
            <w:tcW w:w="1696" w:type="dxa"/>
            <w:shd w:val="pct12" w:color="auto" w:fill="auto"/>
          </w:tcPr>
          <w:p w14:paraId="3EE9AA9F" w14:textId="77777777" w:rsidR="009355D6" w:rsidRPr="00F36E03" w:rsidRDefault="0001170F" w:rsidP="009355D6">
            <w:pPr>
              <w:spacing w:after="120"/>
              <w:jc w:val="left"/>
              <w:rPr>
                <w:rFonts w:ascii="Calibri" w:hAnsi="Calibri"/>
                <w:b/>
                <w:bCs/>
              </w:rPr>
            </w:pPr>
            <w:hyperlink r:id="rId11" w:history="1">
              <w:r w:rsidR="009355D6" w:rsidRPr="00F36E03">
                <w:rPr>
                  <w:rFonts w:ascii="Calibri" w:hAnsi="Calibri"/>
                  <w:b/>
                  <w:bCs/>
                  <w:u w:val="single"/>
                </w:rPr>
                <w:t xml:space="preserve">Access and </w:t>
              </w:r>
              <w:r w:rsidR="00791AA4" w:rsidRPr="00F36E03">
                <w:rPr>
                  <w:rFonts w:ascii="Calibri" w:hAnsi="Calibri"/>
                  <w:b/>
                  <w:bCs/>
                  <w:u w:val="single"/>
                </w:rPr>
                <w:t>forward-looking</w:t>
              </w:r>
              <w:r w:rsidR="009355D6" w:rsidRPr="00F36E03">
                <w:rPr>
                  <w:rFonts w:ascii="Calibri" w:hAnsi="Calibri"/>
                  <w:b/>
                  <w:bCs/>
                  <w:u w:val="single"/>
                </w:rPr>
                <w:t xml:space="preserve"> charges review</w:t>
              </w:r>
              <w:r w:rsidR="009355D6" w:rsidRPr="00F36E03">
                <w:rPr>
                  <w:rFonts w:ascii="Calibri" w:hAnsi="Calibri"/>
                  <w:b/>
                  <w:bCs/>
                </w:rPr>
                <w:t>: Significant Code Review</w:t>
              </w:r>
            </w:hyperlink>
            <w:r w:rsidR="00586035" w:rsidRPr="00F36E03">
              <w:rPr>
                <w:rFonts w:ascii="Calibri" w:hAnsi="Calibri"/>
                <w:b/>
                <w:bCs/>
              </w:rPr>
              <w:t xml:space="preserve"> (Access SCR)</w:t>
            </w:r>
          </w:p>
        </w:tc>
        <w:tc>
          <w:tcPr>
            <w:tcW w:w="2552" w:type="dxa"/>
          </w:tcPr>
          <w:p w14:paraId="254358AD" w14:textId="77777777" w:rsidR="009355D6" w:rsidRPr="00204E2D" w:rsidRDefault="009355D6" w:rsidP="009355D6">
            <w:pPr>
              <w:spacing w:after="120"/>
              <w:jc w:val="left"/>
              <w:rPr>
                <w:rFonts w:ascii="Calibri" w:hAnsi="Calibri"/>
                <w:bCs/>
              </w:rPr>
            </w:pPr>
            <w:r w:rsidRPr="00204E2D">
              <w:rPr>
                <w:rFonts w:ascii="Calibri" w:hAnsi="Calibri"/>
                <w:bCs/>
              </w:rPr>
              <w:t>This is Ofgem’s method to review current working practices and this review will focus on:</w:t>
            </w:r>
          </w:p>
          <w:p w14:paraId="23ADA031" w14:textId="77777777" w:rsidR="009355D6" w:rsidRPr="00204E2D" w:rsidRDefault="009355D6" w:rsidP="009355D6">
            <w:pPr>
              <w:spacing w:after="120"/>
              <w:jc w:val="left"/>
              <w:rPr>
                <w:rFonts w:ascii="Calibri" w:hAnsi="Calibri"/>
                <w:bCs/>
              </w:rPr>
            </w:pPr>
            <w:r w:rsidRPr="00204E2D">
              <w:rPr>
                <w:rFonts w:ascii="Calibri" w:hAnsi="Calibri"/>
                <w:bCs/>
              </w:rPr>
              <w:t xml:space="preserve"> a review of the definition and choice of access rights for transmission and distribution users</w:t>
            </w:r>
          </w:p>
          <w:p w14:paraId="56E74C3E" w14:textId="77777777" w:rsidR="009355D6" w:rsidRPr="00204E2D" w:rsidRDefault="009355D6" w:rsidP="009355D6">
            <w:pPr>
              <w:spacing w:after="120"/>
              <w:jc w:val="left"/>
              <w:rPr>
                <w:rFonts w:ascii="Calibri" w:hAnsi="Calibri"/>
                <w:bCs/>
              </w:rPr>
            </w:pPr>
            <w:r w:rsidRPr="00204E2D">
              <w:rPr>
                <w:rFonts w:ascii="Calibri" w:hAnsi="Calibri"/>
                <w:bCs/>
              </w:rPr>
              <w:t>a wide-ranging review of distribution network charges (Distribution Use of System (DUoS) charges)</w:t>
            </w:r>
          </w:p>
          <w:p w14:paraId="0264DB91" w14:textId="77777777" w:rsidR="009355D6" w:rsidRPr="00204E2D" w:rsidRDefault="009355D6" w:rsidP="009355D6">
            <w:pPr>
              <w:spacing w:after="120"/>
              <w:jc w:val="left"/>
              <w:rPr>
                <w:rFonts w:ascii="Calibri" w:hAnsi="Calibri"/>
                <w:bCs/>
              </w:rPr>
            </w:pPr>
            <w:r w:rsidRPr="00204E2D">
              <w:rPr>
                <w:rFonts w:ascii="Calibri" w:hAnsi="Calibri"/>
                <w:bCs/>
              </w:rPr>
              <w:lastRenderedPageBreak/>
              <w:t>a review of the distribution connection charging boundary</w:t>
            </w:r>
          </w:p>
          <w:p w14:paraId="7247F282" w14:textId="77777777" w:rsidR="009355D6" w:rsidRPr="00204E2D" w:rsidRDefault="009355D6" w:rsidP="009355D6">
            <w:pPr>
              <w:spacing w:after="120"/>
              <w:jc w:val="left"/>
              <w:rPr>
                <w:rFonts w:ascii="Calibri" w:hAnsi="Calibri"/>
                <w:bCs/>
              </w:rPr>
            </w:pPr>
            <w:r w:rsidRPr="00204E2D">
              <w:rPr>
                <w:rFonts w:ascii="Calibri" w:hAnsi="Calibri"/>
                <w:bCs/>
              </w:rPr>
              <w:t>a focused review of transmission network charges (Transmission Network Use of System (</w:t>
            </w:r>
            <w:proofErr w:type="spellStart"/>
            <w:r w:rsidRPr="00204E2D">
              <w:rPr>
                <w:rFonts w:ascii="Calibri" w:hAnsi="Calibri"/>
                <w:bCs/>
              </w:rPr>
              <w:t>TNUoS</w:t>
            </w:r>
            <w:proofErr w:type="spellEnd"/>
            <w:r w:rsidRPr="00204E2D">
              <w:rPr>
                <w:rFonts w:ascii="Calibri" w:hAnsi="Calibri"/>
                <w:bCs/>
              </w:rPr>
              <w:t>) charges</w:t>
            </w:r>
          </w:p>
          <w:p w14:paraId="4D2F6535" w14:textId="77777777" w:rsidR="009355D6" w:rsidRPr="00204E2D" w:rsidRDefault="009355D6" w:rsidP="009355D6">
            <w:pPr>
              <w:spacing w:after="120"/>
              <w:jc w:val="left"/>
              <w:rPr>
                <w:rFonts w:ascii="Calibri" w:hAnsi="Calibri"/>
                <w:bCs/>
              </w:rPr>
            </w:pPr>
          </w:p>
        </w:tc>
        <w:tc>
          <w:tcPr>
            <w:tcW w:w="1276" w:type="dxa"/>
          </w:tcPr>
          <w:p w14:paraId="2E4A761A" w14:textId="77777777" w:rsidR="009355D6" w:rsidRPr="00204E2D" w:rsidRDefault="009355D6" w:rsidP="009355D6">
            <w:pPr>
              <w:spacing w:after="120"/>
              <w:jc w:val="left"/>
              <w:rPr>
                <w:rFonts w:ascii="Calibri" w:hAnsi="Calibri"/>
                <w:bCs/>
              </w:rPr>
            </w:pPr>
            <w:r w:rsidRPr="00204E2D">
              <w:rPr>
                <w:rFonts w:ascii="Calibri" w:hAnsi="Calibri"/>
                <w:bCs/>
              </w:rPr>
              <w:lastRenderedPageBreak/>
              <w:t>Ofgem</w:t>
            </w:r>
          </w:p>
        </w:tc>
        <w:tc>
          <w:tcPr>
            <w:tcW w:w="4961" w:type="dxa"/>
          </w:tcPr>
          <w:p w14:paraId="4A80C126" w14:textId="78412ABD" w:rsidR="00302A1F" w:rsidRPr="0001170F" w:rsidRDefault="00374FDB" w:rsidP="00374FDB">
            <w:pPr>
              <w:rPr>
                <w:rFonts w:ascii="Calibri" w:hAnsi="Calibri" w:cs="Calibri"/>
                <w:b/>
                <w:bCs/>
                <w:highlight w:val="cyan"/>
              </w:rPr>
            </w:pPr>
            <w:r w:rsidRPr="00655978">
              <w:rPr>
                <w:rFonts w:ascii="Calibri" w:hAnsi="Calibri" w:cs="Calibri"/>
                <w:b/>
                <w:bCs/>
                <w:highlight w:val="cyan"/>
              </w:rPr>
              <w:t>Update</w:t>
            </w:r>
            <w:r w:rsidR="00791AA4">
              <w:rPr>
                <w:rFonts w:ascii="Calibri" w:hAnsi="Calibri" w:cs="Calibri"/>
                <w:b/>
                <w:bCs/>
                <w:highlight w:val="cyan"/>
              </w:rPr>
              <w:t xml:space="preserve">: </w:t>
            </w:r>
            <w:r w:rsidR="00302A1F" w:rsidRPr="0001170F">
              <w:rPr>
                <w:rFonts w:ascii="Calibri" w:hAnsi="Calibri" w:cs="Calibri"/>
                <w:b/>
                <w:bCs/>
                <w:highlight w:val="cyan"/>
              </w:rPr>
              <w:t xml:space="preserve">In Autumn, </w:t>
            </w:r>
            <w:r w:rsidR="00302A1F">
              <w:rPr>
                <w:rFonts w:ascii="Calibri" w:hAnsi="Calibri" w:cs="Calibri"/>
                <w:b/>
                <w:bCs/>
                <w:highlight w:val="cyan"/>
              </w:rPr>
              <w:t>Wo</w:t>
            </w:r>
            <w:r w:rsidR="009161DA" w:rsidRPr="0001170F">
              <w:rPr>
                <w:rFonts w:ascii="Calibri" w:hAnsi="Calibri" w:cs="Calibri"/>
                <w:b/>
                <w:bCs/>
                <w:highlight w:val="cyan"/>
              </w:rPr>
              <w:t>rking</w:t>
            </w:r>
            <w:r w:rsidR="00302A1F">
              <w:rPr>
                <w:rFonts w:ascii="Calibri" w:hAnsi="Calibri" w:cs="Calibri"/>
                <w:b/>
                <w:bCs/>
                <w:highlight w:val="cyan"/>
              </w:rPr>
              <w:t xml:space="preserve"> G</w:t>
            </w:r>
            <w:r w:rsidR="009161DA" w:rsidRPr="0001170F">
              <w:rPr>
                <w:rFonts w:ascii="Calibri" w:hAnsi="Calibri" w:cs="Calibri"/>
                <w:b/>
                <w:bCs/>
                <w:highlight w:val="cyan"/>
              </w:rPr>
              <w:t xml:space="preserve">roups were set up for </w:t>
            </w:r>
            <w:r w:rsidR="00302A1F">
              <w:rPr>
                <w:rFonts w:ascii="Calibri" w:hAnsi="Calibri" w:cs="Calibri"/>
                <w:b/>
                <w:bCs/>
                <w:highlight w:val="cyan"/>
              </w:rPr>
              <w:t xml:space="preserve">Access SCR </w:t>
            </w:r>
            <w:r w:rsidR="009161DA" w:rsidRPr="0001170F">
              <w:rPr>
                <w:rFonts w:ascii="Calibri" w:hAnsi="Calibri" w:cs="Calibri"/>
                <w:b/>
                <w:bCs/>
                <w:highlight w:val="cyan"/>
              </w:rPr>
              <w:t>DCUSA Change Proposals</w:t>
            </w:r>
            <w:r w:rsidR="00302A1F" w:rsidRPr="0001170F">
              <w:rPr>
                <w:rFonts w:ascii="Calibri" w:hAnsi="Calibri" w:cs="Calibri"/>
                <w:b/>
                <w:bCs/>
                <w:highlight w:val="cyan"/>
              </w:rPr>
              <w:t>:</w:t>
            </w:r>
          </w:p>
          <w:p w14:paraId="46D2CB27" w14:textId="32956B4D" w:rsidR="00302A1F" w:rsidRPr="0001170F" w:rsidRDefault="00302A1F" w:rsidP="0001170F">
            <w:pPr>
              <w:pStyle w:val="Heading3"/>
              <w:numPr>
                <w:ilvl w:val="0"/>
                <w:numId w:val="19"/>
              </w:numPr>
              <w:spacing w:before="0" w:after="0"/>
              <w:ind w:left="357" w:hanging="357"/>
              <w:rPr>
                <w:rFonts w:ascii="Calibri" w:hAnsi="Calibri" w:cs="Calibri"/>
                <w:b/>
                <w:bCs/>
                <w:highlight w:val="cyan"/>
              </w:rPr>
            </w:pPr>
            <w:r w:rsidRPr="0001170F">
              <w:rPr>
                <w:rFonts w:ascii="Calibri" w:eastAsiaTheme="minorHAnsi" w:hAnsi="Calibri" w:cs="Calibri"/>
                <w:b/>
                <w:bCs/>
                <w:color w:val="auto"/>
                <w:sz w:val="22"/>
                <w:szCs w:val="22"/>
                <w:highlight w:val="cyan"/>
              </w:rPr>
              <w:t xml:space="preserve">DCP 404 </w:t>
            </w:r>
            <w:r w:rsidRPr="00302A1F">
              <w:rPr>
                <w:rFonts w:ascii="Calibri" w:eastAsiaTheme="minorHAnsi" w:hAnsi="Calibri" w:cs="Calibri"/>
                <w:b/>
                <w:bCs/>
                <w:color w:val="auto"/>
                <w:sz w:val="22"/>
                <w:szCs w:val="22"/>
                <w:highlight w:val="cyan"/>
              </w:rPr>
              <w:t xml:space="preserve">Access SCR: </w:t>
            </w:r>
            <w:r w:rsidRPr="0001170F">
              <w:rPr>
                <w:rFonts w:ascii="Calibri" w:eastAsiaTheme="minorHAnsi" w:hAnsi="Calibri" w:cs="Calibri"/>
                <w:b/>
                <w:bCs/>
                <w:color w:val="auto"/>
                <w:sz w:val="22"/>
                <w:szCs w:val="22"/>
                <w:highlight w:val="cyan"/>
              </w:rPr>
              <w:t>Changes to Terms of Connection for Curtailable Customers</w:t>
            </w:r>
          </w:p>
          <w:p w14:paraId="43DCFD1A" w14:textId="6CD4496D" w:rsidR="00302A1F" w:rsidRPr="0001170F" w:rsidRDefault="00302A1F" w:rsidP="0001170F">
            <w:pPr>
              <w:pStyle w:val="ListParagraph"/>
              <w:numPr>
                <w:ilvl w:val="0"/>
                <w:numId w:val="19"/>
              </w:numPr>
              <w:spacing w:before="0" w:after="0"/>
              <w:ind w:left="357" w:hanging="357"/>
              <w:rPr>
                <w:rFonts w:ascii="Calibri" w:hAnsi="Calibri" w:cs="Calibri"/>
                <w:b/>
                <w:bCs/>
                <w:highlight w:val="cyan"/>
              </w:rPr>
            </w:pPr>
            <w:r w:rsidRPr="0001170F">
              <w:rPr>
                <w:rFonts w:ascii="Calibri" w:hAnsi="Calibri" w:cs="Calibri"/>
                <w:b/>
                <w:bCs/>
                <w:highlight w:val="cyan"/>
              </w:rPr>
              <w:t>DCP</w:t>
            </w:r>
            <w:r>
              <w:rPr>
                <w:rFonts w:ascii="Calibri" w:hAnsi="Calibri" w:cs="Calibri"/>
                <w:b/>
                <w:bCs/>
                <w:highlight w:val="cyan"/>
              </w:rPr>
              <w:t xml:space="preserve"> </w:t>
            </w:r>
            <w:r w:rsidRPr="0001170F">
              <w:rPr>
                <w:rFonts w:ascii="Calibri" w:hAnsi="Calibri" w:cs="Calibri"/>
                <w:b/>
                <w:bCs/>
                <w:highlight w:val="cyan"/>
              </w:rPr>
              <w:t>405 Access SCR: Managing Curtailable Connections Between Licensed Distribution Networks</w:t>
            </w:r>
          </w:p>
          <w:p w14:paraId="0FE6B9AC" w14:textId="77777777" w:rsidR="00302A1F" w:rsidRPr="0001170F" w:rsidRDefault="00302A1F" w:rsidP="00302A1F">
            <w:pPr>
              <w:pStyle w:val="ListParagraph"/>
              <w:numPr>
                <w:ilvl w:val="0"/>
                <w:numId w:val="19"/>
              </w:numPr>
              <w:rPr>
                <w:rFonts w:ascii="Calibri" w:hAnsi="Calibri" w:cs="Calibri"/>
                <w:b/>
                <w:bCs/>
                <w:highlight w:val="cyan"/>
              </w:rPr>
            </w:pPr>
            <w:r w:rsidRPr="0001170F">
              <w:rPr>
                <w:rFonts w:ascii="Calibri" w:hAnsi="Calibri" w:cs="Calibri"/>
                <w:b/>
                <w:bCs/>
                <w:highlight w:val="cyan"/>
              </w:rPr>
              <w:t>DCP 406 Access SCR: Changes to CCCM</w:t>
            </w:r>
          </w:p>
          <w:p w14:paraId="216DAC31" w14:textId="77777777" w:rsidR="00302A1F" w:rsidRPr="0001170F" w:rsidRDefault="00302A1F" w:rsidP="00302A1F">
            <w:pPr>
              <w:pStyle w:val="ListParagraph"/>
              <w:numPr>
                <w:ilvl w:val="0"/>
                <w:numId w:val="19"/>
              </w:numPr>
              <w:rPr>
                <w:rFonts w:ascii="Calibri" w:hAnsi="Calibri" w:cs="Calibri"/>
                <w:b/>
                <w:bCs/>
                <w:highlight w:val="cyan"/>
              </w:rPr>
            </w:pPr>
            <w:r w:rsidRPr="0001170F">
              <w:rPr>
                <w:rFonts w:ascii="Calibri" w:hAnsi="Calibri" w:cs="Calibri"/>
                <w:b/>
                <w:bCs/>
                <w:highlight w:val="cyan"/>
              </w:rPr>
              <w:t>DCP 407 Access SCR: Speculative Development</w:t>
            </w:r>
          </w:p>
          <w:p w14:paraId="79A180BC" w14:textId="36202C05" w:rsidR="00791AA4" w:rsidRDefault="00882892" w:rsidP="00374FDB">
            <w:pPr>
              <w:rPr>
                <w:rFonts w:ascii="Calibri" w:hAnsi="Calibri" w:cs="Calibri"/>
                <w:b/>
                <w:bCs/>
                <w:highlight w:val="cyan"/>
              </w:rPr>
            </w:pPr>
            <w:r>
              <w:rPr>
                <w:rFonts w:ascii="Calibri" w:hAnsi="Calibri" w:cs="Calibri"/>
                <w:b/>
                <w:bCs/>
                <w:highlight w:val="cyan"/>
              </w:rPr>
              <w:t xml:space="preserve">Following responses to the consultations the Working Groups drafted the Change Reports which were subsequently issued for DCUSA Parties to provide their votes on the solutions and implementation dates. The voting stage has been </w:t>
            </w:r>
            <w:r>
              <w:rPr>
                <w:rFonts w:ascii="Calibri" w:hAnsi="Calibri" w:cs="Calibri"/>
                <w:b/>
                <w:bCs/>
                <w:highlight w:val="cyan"/>
              </w:rPr>
              <w:lastRenderedPageBreak/>
              <w:t>completed and these change proposals are now with the Authority</w:t>
            </w:r>
            <w:r w:rsidR="003C72C6">
              <w:rPr>
                <w:rFonts w:ascii="Calibri" w:hAnsi="Calibri" w:cs="Calibri"/>
                <w:b/>
                <w:bCs/>
                <w:highlight w:val="cyan"/>
              </w:rPr>
              <w:t xml:space="preserve"> (Ofgem)</w:t>
            </w:r>
            <w:r>
              <w:rPr>
                <w:rFonts w:ascii="Calibri" w:hAnsi="Calibri" w:cs="Calibri"/>
                <w:b/>
                <w:bCs/>
                <w:highlight w:val="cyan"/>
              </w:rPr>
              <w:t xml:space="preserve"> for final determination.</w:t>
            </w:r>
          </w:p>
          <w:p w14:paraId="07C35CCD" w14:textId="2736C8EF" w:rsidR="009355D6" w:rsidRPr="00655978" w:rsidRDefault="009355D6" w:rsidP="009355D6">
            <w:pPr>
              <w:spacing w:after="120"/>
              <w:jc w:val="left"/>
              <w:rPr>
                <w:rFonts w:cstheme="minorHAnsi"/>
                <w:b/>
                <w:color w:val="000000"/>
              </w:rPr>
            </w:pPr>
          </w:p>
        </w:tc>
        <w:tc>
          <w:tcPr>
            <w:tcW w:w="3544" w:type="dxa"/>
            <w:vAlign w:val="center"/>
          </w:tcPr>
          <w:p w14:paraId="6CCBE2F6" w14:textId="77777777" w:rsidR="009355D6" w:rsidRDefault="009355D6" w:rsidP="009355D6">
            <w:pPr>
              <w:spacing w:after="120"/>
              <w:jc w:val="left"/>
              <w:rPr>
                <w:rFonts w:ascii="Calibri" w:hAnsi="Calibri"/>
                <w:bCs/>
              </w:rPr>
            </w:pPr>
            <w:r>
              <w:rPr>
                <w:rFonts w:ascii="Calibri" w:hAnsi="Calibri"/>
                <w:bCs/>
              </w:rPr>
              <w:lastRenderedPageBreak/>
              <w:t>The objective of both the Target Charging and Access and Forward-looking charges review t</w:t>
            </w:r>
            <w:r w:rsidDel="00E92567">
              <w:rPr>
                <w:rFonts w:ascii="Calibri" w:hAnsi="Calibri"/>
                <w:bCs/>
              </w:rPr>
              <w:t xml:space="preserve">his </w:t>
            </w:r>
            <w:r>
              <w:rPr>
                <w:rFonts w:ascii="Calibri" w:hAnsi="Calibri"/>
                <w:bCs/>
              </w:rPr>
              <w:t>Significant Code Reviews are</w:t>
            </w:r>
            <w:r w:rsidDel="00E92567">
              <w:rPr>
                <w:rFonts w:ascii="Calibri" w:hAnsi="Calibri"/>
                <w:bCs/>
              </w:rPr>
              <w:t xml:space="preserve"> </w:t>
            </w:r>
            <w:r>
              <w:rPr>
                <w:rFonts w:ascii="Calibri" w:hAnsi="Calibri"/>
                <w:bCs/>
              </w:rPr>
              <w:t xml:space="preserve">to </w:t>
            </w:r>
            <w:r w:rsidRPr="00AD3898">
              <w:rPr>
                <w:rFonts w:ascii="Calibri" w:hAnsi="Calibri"/>
                <w:bCs/>
              </w:rPr>
              <w:t>ensur</w:t>
            </w:r>
            <w:r>
              <w:rPr>
                <w:rFonts w:ascii="Calibri" w:hAnsi="Calibri"/>
                <w:bCs/>
              </w:rPr>
              <w:t>e</w:t>
            </w:r>
            <w:r w:rsidRPr="00AD3898">
              <w:rPr>
                <w:rFonts w:ascii="Calibri" w:hAnsi="Calibri"/>
                <w:bCs/>
              </w:rPr>
              <w:t xml:space="preserve"> that electricity networks are used efficiently and flexibly, reflecting users’ needs and allowing consumers to benefit from new technologies and services while avoiding unnecessary costs on energy bills in general</w:t>
            </w:r>
            <w:r>
              <w:rPr>
                <w:rFonts w:ascii="Calibri" w:hAnsi="Calibri"/>
                <w:bCs/>
              </w:rPr>
              <w:t xml:space="preserve">.  </w:t>
            </w:r>
          </w:p>
          <w:p w14:paraId="64CEE3F0" w14:textId="77777777" w:rsidR="009355D6" w:rsidRPr="00204E2D" w:rsidRDefault="009355D6" w:rsidP="009355D6">
            <w:pPr>
              <w:spacing w:after="120"/>
              <w:jc w:val="left"/>
              <w:rPr>
                <w:rFonts w:ascii="Calibri" w:hAnsi="Calibri"/>
                <w:bCs/>
              </w:rPr>
            </w:pPr>
            <w:r>
              <w:rPr>
                <w:rFonts w:ascii="Calibri" w:hAnsi="Calibri"/>
                <w:bCs/>
              </w:rPr>
              <w:t xml:space="preserve">It could significantly affect community energy projects because it may impact the cost of connections and use of network </w:t>
            </w:r>
            <w:r>
              <w:rPr>
                <w:rFonts w:ascii="Calibri" w:hAnsi="Calibri"/>
                <w:bCs/>
              </w:rPr>
              <w:lastRenderedPageBreak/>
              <w:t>charges paid by demand and generation customers.</w:t>
            </w:r>
          </w:p>
        </w:tc>
      </w:tr>
      <w:tr w:rsidR="009355D6" w:rsidRPr="00204E2D" w14:paraId="5698C40D" w14:textId="77777777" w:rsidTr="00767745">
        <w:tc>
          <w:tcPr>
            <w:tcW w:w="1696" w:type="dxa"/>
            <w:shd w:val="pct12" w:color="auto" w:fill="auto"/>
          </w:tcPr>
          <w:p w14:paraId="7CFC3905" w14:textId="7D1A86AC" w:rsidR="009355D6" w:rsidRPr="00F36E03" w:rsidRDefault="009355D6" w:rsidP="009355D6">
            <w:pPr>
              <w:spacing w:after="120"/>
              <w:jc w:val="left"/>
              <w:rPr>
                <w:rFonts w:ascii="Calibri" w:hAnsi="Calibri"/>
                <w:bCs/>
              </w:rPr>
            </w:pPr>
            <w:bookmarkStart w:id="1" w:name="_Hlk89758873"/>
            <w:r w:rsidRPr="00F36E03">
              <w:rPr>
                <w:rStyle w:val="Strong"/>
                <w:rFonts w:ascii="Calibri" w:hAnsi="Calibri" w:cs="Segoe UI"/>
                <w:lang w:val="en-US"/>
              </w:rPr>
              <w:lastRenderedPageBreak/>
              <w:t>Ma</w:t>
            </w:r>
            <w:r w:rsidR="00586035" w:rsidRPr="00F36E03">
              <w:rPr>
                <w:rStyle w:val="Strong"/>
                <w:rFonts w:ascii="Calibri" w:hAnsi="Calibri" w:cs="Segoe UI"/>
                <w:lang w:val="en-US"/>
              </w:rPr>
              <w:t>rket-wide</w:t>
            </w:r>
            <w:r w:rsidRPr="00F36E03">
              <w:rPr>
                <w:rStyle w:val="Strong"/>
                <w:rFonts w:ascii="Calibri" w:hAnsi="Calibri" w:cs="Segoe UI"/>
                <w:lang w:val="en-US"/>
              </w:rPr>
              <w:t xml:space="preserve"> Half Hourly Settlement </w:t>
            </w:r>
            <w:r w:rsidR="00F45C27" w:rsidRPr="00F36E03">
              <w:rPr>
                <w:rStyle w:val="Strong"/>
                <w:rFonts w:ascii="Calibri" w:hAnsi="Calibri" w:cs="Segoe UI"/>
                <w:lang w:val="en-US"/>
              </w:rPr>
              <w:t xml:space="preserve">(MHHS) </w:t>
            </w:r>
            <w:r w:rsidRPr="00F36E03">
              <w:rPr>
                <w:rStyle w:val="Strong"/>
                <w:rFonts w:ascii="Calibri" w:hAnsi="Calibri" w:cs="Segoe UI"/>
                <w:lang w:val="en-US"/>
              </w:rPr>
              <w:t>Significant Code Review</w:t>
            </w:r>
            <w:bookmarkEnd w:id="1"/>
            <w:r w:rsidR="00F45C27" w:rsidRPr="00F36E03">
              <w:rPr>
                <w:rStyle w:val="Strong"/>
                <w:rFonts w:ascii="Calibri" w:hAnsi="Calibri" w:cs="Segoe UI"/>
                <w:lang w:val="en-US"/>
              </w:rPr>
              <w:t xml:space="preserve"> </w:t>
            </w:r>
          </w:p>
        </w:tc>
        <w:tc>
          <w:tcPr>
            <w:tcW w:w="2552" w:type="dxa"/>
          </w:tcPr>
          <w:p w14:paraId="73247637" w14:textId="77777777" w:rsidR="009355D6" w:rsidRPr="00204E2D" w:rsidRDefault="009355D6" w:rsidP="009355D6">
            <w:pPr>
              <w:spacing w:after="120"/>
              <w:jc w:val="left"/>
              <w:rPr>
                <w:rFonts w:ascii="Calibri" w:hAnsi="Calibri"/>
                <w:bCs/>
              </w:rPr>
            </w:pPr>
            <w:r w:rsidRPr="00A50728">
              <w:rPr>
                <w:rFonts w:ascii="Calibri" w:hAnsi="Calibri"/>
                <w:bCs/>
              </w:rPr>
              <w:t>Settlement reconciles differences between a supplier’s contractual purchases of electricity and the demand of its customers. Generators and suppliers trade electricity in the wholesale market in half-hourly periods. Currently, most customers are settled on a ‘non-half-hourly’ basis using estimates of when they use electricity, based on a profile of the average consumer usage and their own meter reads (taken over weeks and months).</w:t>
            </w:r>
          </w:p>
        </w:tc>
        <w:tc>
          <w:tcPr>
            <w:tcW w:w="1276" w:type="dxa"/>
          </w:tcPr>
          <w:p w14:paraId="58D8107E" w14:textId="77777777" w:rsidR="009355D6" w:rsidRPr="00204E2D" w:rsidRDefault="009355D6" w:rsidP="009355D6">
            <w:pPr>
              <w:spacing w:after="120"/>
              <w:jc w:val="left"/>
              <w:rPr>
                <w:rFonts w:ascii="Calibri" w:hAnsi="Calibri"/>
                <w:bCs/>
              </w:rPr>
            </w:pPr>
            <w:r>
              <w:rPr>
                <w:rFonts w:ascii="Calibri" w:hAnsi="Calibri"/>
                <w:bCs/>
              </w:rPr>
              <w:t>Ofgem</w:t>
            </w:r>
          </w:p>
        </w:tc>
        <w:tc>
          <w:tcPr>
            <w:tcW w:w="4961" w:type="dxa"/>
          </w:tcPr>
          <w:p w14:paraId="73FD9CFE" w14:textId="77777777" w:rsidR="009355D6" w:rsidRPr="0001170F" w:rsidRDefault="00655978" w:rsidP="008C4EF9">
            <w:pPr>
              <w:spacing w:after="120"/>
              <w:jc w:val="left"/>
              <w:rPr>
                <w:rFonts w:ascii="Calibri" w:hAnsi="Calibri"/>
                <w:b/>
                <w:bCs/>
              </w:rPr>
            </w:pPr>
            <w:r w:rsidRPr="0001170F">
              <w:rPr>
                <w:rStyle w:val="Strong"/>
                <w:rFonts w:ascii="Calibri" w:hAnsi="Calibri" w:cs="Segoe UI"/>
                <w:color w:val="081F2D"/>
                <w:highlight w:val="cyan"/>
                <w:lang w:val="en-US"/>
              </w:rPr>
              <w:t>Update</w:t>
            </w:r>
            <w:r w:rsidR="00791AA4" w:rsidRPr="0001170F">
              <w:rPr>
                <w:rStyle w:val="Strong"/>
                <w:rFonts w:ascii="Calibri" w:hAnsi="Calibri" w:cs="Segoe UI"/>
                <w:color w:val="081F2D"/>
                <w:highlight w:val="cyan"/>
                <w:lang w:val="en-US"/>
              </w:rPr>
              <w:t>:</w:t>
            </w:r>
            <w:r w:rsidR="00B36069" w:rsidRPr="0001170F">
              <w:rPr>
                <w:rStyle w:val="Strong"/>
                <w:rFonts w:ascii="Calibri" w:hAnsi="Calibri" w:cs="Segoe UI"/>
                <w:b w:val="0"/>
                <w:color w:val="081F2D"/>
                <w:highlight w:val="cyan"/>
                <w:lang w:val="en-US"/>
              </w:rPr>
              <w:t xml:space="preserve"> </w:t>
            </w:r>
            <w:r w:rsidR="008C4EF9" w:rsidRPr="0001170F">
              <w:rPr>
                <w:rFonts w:ascii="Calibri" w:hAnsi="Calibri"/>
                <w:b/>
                <w:bCs/>
                <w:highlight w:val="cyan"/>
              </w:rPr>
              <w:t xml:space="preserve">Ofgem have approved the following modification to consequential codes </w:t>
            </w:r>
            <w:proofErr w:type="gramStart"/>
            <w:r w:rsidR="008C4EF9" w:rsidRPr="0001170F">
              <w:rPr>
                <w:rFonts w:ascii="Calibri" w:hAnsi="Calibri"/>
                <w:b/>
                <w:bCs/>
                <w:highlight w:val="cyan"/>
              </w:rPr>
              <w:t>as a result of</w:t>
            </w:r>
            <w:proofErr w:type="gramEnd"/>
            <w:r w:rsidR="008C4EF9" w:rsidRPr="0001170F">
              <w:rPr>
                <w:rFonts w:ascii="Calibri" w:hAnsi="Calibri"/>
                <w:b/>
                <w:bCs/>
                <w:highlight w:val="cyan"/>
              </w:rPr>
              <w:t xml:space="preserve"> the MHHS SCR:</w:t>
            </w:r>
          </w:p>
          <w:p w14:paraId="637CB9B4" w14:textId="77777777" w:rsidR="008C4EF9" w:rsidRPr="0001170F" w:rsidRDefault="008C4EF9" w:rsidP="008C4EF9">
            <w:pPr>
              <w:pStyle w:val="ListParagraph"/>
              <w:numPr>
                <w:ilvl w:val="0"/>
                <w:numId w:val="25"/>
              </w:numPr>
              <w:spacing w:after="120"/>
              <w:jc w:val="left"/>
              <w:rPr>
                <w:rFonts w:ascii="Calibri" w:hAnsi="Calibri"/>
                <w:b/>
                <w:bCs/>
                <w:highlight w:val="cyan"/>
              </w:rPr>
            </w:pPr>
            <w:r w:rsidRPr="0001170F">
              <w:rPr>
                <w:rFonts w:ascii="Calibri" w:hAnsi="Calibri"/>
                <w:b/>
                <w:bCs/>
                <w:highlight w:val="cyan"/>
              </w:rPr>
              <w:t xml:space="preserve">SEC Modification MP162 ‘SEC Changes required to deliver MHHS’ – a </w:t>
            </w:r>
            <w:hyperlink r:id="rId12" w:history="1">
              <w:r w:rsidRPr="0001170F">
                <w:rPr>
                  <w:rStyle w:val="Hyperlink"/>
                  <w:rFonts w:ascii="Calibri" w:hAnsi="Calibri"/>
                  <w:b/>
                  <w:bCs/>
                  <w:highlight w:val="cyan"/>
                </w:rPr>
                <w:t>decision letter</w:t>
              </w:r>
            </w:hyperlink>
            <w:r w:rsidRPr="0001170F">
              <w:rPr>
                <w:rFonts w:ascii="Calibri" w:hAnsi="Calibri"/>
                <w:b/>
                <w:bCs/>
                <w:highlight w:val="cyan"/>
              </w:rPr>
              <w:t xml:space="preserve"> was published on the 28 November 2022. This will </w:t>
            </w:r>
            <w:r w:rsidRPr="0001170F">
              <w:rPr>
                <w:b/>
                <w:highlight w:val="cyan"/>
              </w:rPr>
              <w:t>enable the creation of a new Meter Data Retrieval role which will have access to the DCC network as a user. The MDR role will allow independent agents to be able to access half-hourly data from the electricity smart metering equipment (ESME).</w:t>
            </w:r>
            <w:r w:rsidRPr="0001170F">
              <w:rPr>
                <w:b/>
              </w:rPr>
              <w:t xml:space="preserve"> </w:t>
            </w:r>
            <w:r w:rsidRPr="0001170F">
              <w:rPr>
                <w:rFonts w:ascii="Calibri" w:hAnsi="Calibri"/>
                <w:b/>
                <w:bCs/>
                <w:highlight w:val="cyan"/>
              </w:rPr>
              <w:t>The modification implementation date is 27 June 2024</w:t>
            </w:r>
          </w:p>
          <w:p w14:paraId="42ED0AED" w14:textId="77777777" w:rsidR="008C4EF9" w:rsidRPr="008C4EF9" w:rsidRDefault="008C4EF9" w:rsidP="008C4EF9">
            <w:pPr>
              <w:spacing w:after="120"/>
              <w:jc w:val="left"/>
              <w:rPr>
                <w:rFonts w:ascii="Calibri" w:hAnsi="Calibri"/>
                <w:bCs/>
              </w:rPr>
            </w:pPr>
          </w:p>
        </w:tc>
        <w:tc>
          <w:tcPr>
            <w:tcW w:w="3544" w:type="dxa"/>
          </w:tcPr>
          <w:p w14:paraId="1AC90C74" w14:textId="77777777" w:rsidR="009355D6" w:rsidRDefault="009355D6" w:rsidP="009355D6">
            <w:r>
              <w:t>This significant code review will change the way that suppliers bill customers and will also change the amount of data provided to the industry.</w:t>
            </w:r>
          </w:p>
          <w:p w14:paraId="2DEF7643" w14:textId="77777777" w:rsidR="009355D6" w:rsidRPr="00204E2D" w:rsidRDefault="009355D6" w:rsidP="009355D6">
            <w:pPr>
              <w:spacing w:after="120"/>
              <w:jc w:val="left"/>
              <w:rPr>
                <w:rFonts w:ascii="Calibri" w:hAnsi="Calibri"/>
                <w:bCs/>
              </w:rPr>
            </w:pPr>
            <w:r>
              <w:t xml:space="preserve">It could help community energy groups because widespread half hourly metering is seen as key to unlocking new markets such as domestic flexibility.  </w:t>
            </w:r>
          </w:p>
        </w:tc>
      </w:tr>
      <w:tr w:rsidR="009355D6" w:rsidRPr="00204E2D" w14:paraId="3D09E40B" w14:textId="77777777" w:rsidTr="00767745">
        <w:tc>
          <w:tcPr>
            <w:tcW w:w="1696" w:type="dxa"/>
            <w:shd w:val="pct12" w:color="auto" w:fill="auto"/>
          </w:tcPr>
          <w:p w14:paraId="3DA60D26" w14:textId="77777777" w:rsidR="009355D6" w:rsidRPr="00F36E03" w:rsidRDefault="009355D6" w:rsidP="009355D6">
            <w:pPr>
              <w:spacing w:after="120"/>
              <w:jc w:val="left"/>
              <w:rPr>
                <w:b/>
              </w:rPr>
            </w:pPr>
            <w:r w:rsidRPr="00F36E03">
              <w:rPr>
                <w:rFonts w:ascii="Calibri" w:hAnsi="Calibri"/>
                <w:b/>
                <w:bCs/>
              </w:rPr>
              <w:lastRenderedPageBreak/>
              <w:t>DCUSA Change Proposal (DCP) 390 ‘Provision of Isolations for Safe Working on Customers’ Electrical Installations’</w:t>
            </w:r>
          </w:p>
        </w:tc>
        <w:tc>
          <w:tcPr>
            <w:tcW w:w="2552" w:type="dxa"/>
            <w:shd w:val="clear" w:color="auto" w:fill="auto"/>
          </w:tcPr>
          <w:p w14:paraId="26535042" w14:textId="77777777" w:rsidR="009355D6" w:rsidRPr="00707ADA" w:rsidRDefault="009355D6" w:rsidP="009355D6">
            <w:pPr>
              <w:spacing w:after="120"/>
              <w:jc w:val="left"/>
              <w:rPr>
                <w:rFonts w:ascii="Calibri" w:hAnsi="Calibri"/>
                <w:bCs/>
              </w:rPr>
            </w:pPr>
            <w:r w:rsidRPr="005A4451">
              <w:rPr>
                <w:rFonts w:ascii="Calibri" w:hAnsi="Calibri"/>
                <w:bCs/>
              </w:rPr>
              <w:t>Proposed change under the Distribution Connection &amp; Use of System Agreement (DCUSA)</w:t>
            </w:r>
            <w:r w:rsidRPr="005A4451">
              <w:t xml:space="preserve"> </w:t>
            </w:r>
            <w:r w:rsidRPr="005A4451">
              <w:rPr>
                <w:rFonts w:ascii="Calibri" w:hAnsi="Calibri"/>
                <w:bCs/>
              </w:rPr>
              <w:t>to define a process detailing how a customer can obtain timely main supply electrical isolations to allow for safe working on their electrical installations.</w:t>
            </w:r>
          </w:p>
        </w:tc>
        <w:tc>
          <w:tcPr>
            <w:tcW w:w="1276" w:type="dxa"/>
          </w:tcPr>
          <w:p w14:paraId="653ACB91" w14:textId="77777777" w:rsidR="009355D6" w:rsidRPr="00204E2D" w:rsidRDefault="009355D6" w:rsidP="009355D6">
            <w:pPr>
              <w:spacing w:after="120"/>
              <w:jc w:val="left"/>
              <w:rPr>
                <w:rFonts w:ascii="Calibri" w:hAnsi="Calibri"/>
                <w:bCs/>
              </w:rPr>
            </w:pPr>
            <w:r w:rsidRPr="00707ADA">
              <w:rPr>
                <w:rFonts w:ascii="Calibri" w:hAnsi="Calibri"/>
                <w:bCs/>
              </w:rPr>
              <w:t>DCUSA</w:t>
            </w:r>
          </w:p>
        </w:tc>
        <w:tc>
          <w:tcPr>
            <w:tcW w:w="4961" w:type="dxa"/>
            <w:shd w:val="clear" w:color="auto" w:fill="auto"/>
          </w:tcPr>
          <w:p w14:paraId="1BA0607B" w14:textId="77777777" w:rsidR="00586035" w:rsidRPr="00655978" w:rsidRDefault="00655978" w:rsidP="009713A9">
            <w:pPr>
              <w:pStyle w:val="Default"/>
              <w:rPr>
                <w:rFonts w:asciiTheme="minorHAnsi" w:hAnsiTheme="minorHAnsi" w:cstheme="minorHAnsi"/>
                <w:sz w:val="22"/>
                <w:szCs w:val="22"/>
              </w:rPr>
            </w:pPr>
            <w:r w:rsidRPr="00655978">
              <w:rPr>
                <w:rFonts w:asciiTheme="minorHAnsi" w:hAnsiTheme="minorHAnsi" w:cstheme="minorHAnsi"/>
                <w:bCs/>
                <w:sz w:val="22"/>
                <w:szCs w:val="22"/>
              </w:rPr>
              <w:t>Mar-22</w:t>
            </w:r>
            <w:r w:rsidR="002E4FC7" w:rsidRPr="00655978">
              <w:rPr>
                <w:rFonts w:asciiTheme="minorHAnsi" w:hAnsiTheme="minorHAnsi" w:cstheme="minorHAnsi"/>
                <w:bCs/>
                <w:sz w:val="22"/>
                <w:szCs w:val="22"/>
              </w:rPr>
              <w:t xml:space="preserve"> </w:t>
            </w:r>
            <w:r w:rsidR="009713A9" w:rsidRPr="00655978">
              <w:rPr>
                <w:rFonts w:asciiTheme="minorHAnsi" w:hAnsiTheme="minorHAnsi" w:cstheme="minorHAnsi"/>
                <w:bCs/>
                <w:sz w:val="22"/>
                <w:szCs w:val="22"/>
              </w:rPr>
              <w:t>–</w:t>
            </w:r>
            <w:r w:rsidR="002E4FC7" w:rsidRPr="00655978">
              <w:rPr>
                <w:rFonts w:asciiTheme="minorHAnsi" w:hAnsiTheme="minorHAnsi" w:cstheme="minorHAnsi"/>
                <w:bCs/>
                <w:sz w:val="22"/>
                <w:szCs w:val="22"/>
              </w:rPr>
              <w:t xml:space="preserve"> </w:t>
            </w:r>
            <w:r w:rsidR="009713A9" w:rsidRPr="00655978">
              <w:rPr>
                <w:rFonts w:asciiTheme="minorHAnsi" w:hAnsiTheme="minorHAnsi" w:cstheme="minorHAnsi"/>
                <w:bCs/>
                <w:sz w:val="22"/>
                <w:szCs w:val="22"/>
              </w:rPr>
              <w:t xml:space="preserve">DCUSA Parties voted overall to accept the solution under this change proposal, it was sent to </w:t>
            </w:r>
            <w:r w:rsidR="00AF74A8" w:rsidRPr="00655978">
              <w:rPr>
                <w:rFonts w:asciiTheme="minorHAnsi" w:hAnsiTheme="minorHAnsi" w:cstheme="minorHAnsi"/>
                <w:bCs/>
                <w:sz w:val="22"/>
                <w:szCs w:val="22"/>
              </w:rPr>
              <w:t xml:space="preserve">the Authority </w:t>
            </w:r>
            <w:r w:rsidR="009713A9" w:rsidRPr="00655978">
              <w:rPr>
                <w:rFonts w:asciiTheme="minorHAnsi" w:hAnsiTheme="minorHAnsi" w:cstheme="minorHAnsi"/>
                <w:bCs/>
                <w:sz w:val="22"/>
                <w:szCs w:val="22"/>
              </w:rPr>
              <w:t xml:space="preserve">on 21 December 2021 for final determination. However, </w:t>
            </w:r>
            <w:r w:rsidR="00AF74A8" w:rsidRPr="00655978">
              <w:rPr>
                <w:rFonts w:asciiTheme="minorHAnsi" w:hAnsiTheme="minorHAnsi" w:cstheme="minorHAnsi"/>
                <w:bCs/>
                <w:sz w:val="22"/>
                <w:szCs w:val="22"/>
              </w:rPr>
              <w:t>the Authority</w:t>
            </w:r>
            <w:r w:rsidR="009713A9" w:rsidRPr="00655978">
              <w:rPr>
                <w:rFonts w:asciiTheme="minorHAnsi" w:hAnsiTheme="minorHAnsi" w:cstheme="minorHAnsi"/>
                <w:bCs/>
                <w:sz w:val="22"/>
                <w:szCs w:val="22"/>
              </w:rPr>
              <w:t xml:space="preserve"> sent back the change proposal</w:t>
            </w:r>
            <w:r w:rsidR="00AF74A8" w:rsidRPr="00655978">
              <w:rPr>
                <w:rFonts w:asciiTheme="minorHAnsi" w:hAnsiTheme="minorHAnsi" w:cstheme="minorHAnsi"/>
                <w:bCs/>
                <w:sz w:val="22"/>
                <w:szCs w:val="22"/>
              </w:rPr>
              <w:t xml:space="preserve"> in Feb-22</w:t>
            </w:r>
            <w:r w:rsidR="009713A9" w:rsidRPr="00655978">
              <w:rPr>
                <w:rFonts w:asciiTheme="minorHAnsi" w:hAnsiTheme="minorHAnsi" w:cstheme="minorHAnsi"/>
                <w:bCs/>
                <w:sz w:val="22"/>
                <w:szCs w:val="22"/>
              </w:rPr>
              <w:t xml:space="preserve"> for </w:t>
            </w:r>
            <w:r w:rsidR="00AF74A8" w:rsidRPr="00655978">
              <w:rPr>
                <w:rFonts w:asciiTheme="minorHAnsi" w:hAnsiTheme="minorHAnsi" w:cstheme="minorHAnsi"/>
                <w:bCs/>
                <w:sz w:val="22"/>
                <w:szCs w:val="22"/>
              </w:rPr>
              <w:t>further</w:t>
            </w:r>
            <w:r w:rsidR="009713A9" w:rsidRPr="00655978">
              <w:rPr>
                <w:rFonts w:asciiTheme="minorHAnsi" w:hAnsiTheme="minorHAnsi" w:cstheme="minorHAnsi"/>
                <w:bCs/>
                <w:sz w:val="22"/>
                <w:szCs w:val="22"/>
              </w:rPr>
              <w:t xml:space="preserve"> work to be undertaken by the working group in respect of conflicts with another change proposal, </w:t>
            </w:r>
            <w:r w:rsidR="009713A9" w:rsidRPr="00655978">
              <w:rPr>
                <w:rFonts w:asciiTheme="minorHAnsi" w:hAnsiTheme="minorHAnsi" w:cstheme="minorHAnsi"/>
                <w:sz w:val="22"/>
                <w:szCs w:val="22"/>
              </w:rPr>
              <w:t>DCP394 ‘Allow any REC accredited meter operator to de-energise any metering point’</w:t>
            </w:r>
            <w:r w:rsidR="00AF74A8" w:rsidRPr="00655978">
              <w:rPr>
                <w:rFonts w:asciiTheme="minorHAnsi" w:hAnsiTheme="minorHAnsi" w:cstheme="minorHAnsi"/>
                <w:sz w:val="22"/>
                <w:szCs w:val="22"/>
              </w:rPr>
              <w:t>.</w:t>
            </w:r>
          </w:p>
          <w:p w14:paraId="72A20A40" w14:textId="77777777" w:rsidR="009355D6" w:rsidRPr="00586035" w:rsidRDefault="00586035" w:rsidP="009355D6">
            <w:pPr>
              <w:spacing w:after="120"/>
              <w:jc w:val="left"/>
              <w:rPr>
                <w:rFonts w:ascii="Calibri" w:hAnsi="Calibri"/>
                <w:bCs/>
              </w:rPr>
            </w:pPr>
            <w:r w:rsidRPr="00586035">
              <w:rPr>
                <w:rFonts w:ascii="Calibri" w:hAnsi="Calibri"/>
                <w:bCs/>
              </w:rPr>
              <w:t>Dec-21</w:t>
            </w:r>
            <w:r w:rsidR="009355D6" w:rsidRPr="00586035">
              <w:rPr>
                <w:rFonts w:ascii="Calibri" w:hAnsi="Calibri"/>
                <w:bCs/>
              </w:rPr>
              <w:t xml:space="preserve"> – Following industry consultation this change proposal was issued to </w:t>
            </w:r>
            <w:r w:rsidR="00F45C27" w:rsidRPr="00586035">
              <w:rPr>
                <w:rFonts w:ascii="Calibri" w:hAnsi="Calibri"/>
                <w:bCs/>
              </w:rPr>
              <w:t>p</w:t>
            </w:r>
            <w:r w:rsidR="009355D6" w:rsidRPr="00586035">
              <w:rPr>
                <w:rFonts w:ascii="Calibri" w:hAnsi="Calibri"/>
                <w:bCs/>
              </w:rPr>
              <w:t>arties for voting on 26 November 2021 with votes required by 17 December 2021.</w:t>
            </w:r>
          </w:p>
          <w:p w14:paraId="4D702299" w14:textId="77777777" w:rsidR="009355D6" w:rsidRPr="00E121F5" w:rsidRDefault="009355D6" w:rsidP="009355D6">
            <w:pPr>
              <w:spacing w:after="120"/>
              <w:jc w:val="left"/>
              <w:rPr>
                <w:rFonts w:ascii="Calibri" w:hAnsi="Calibri"/>
                <w:b/>
                <w:bCs/>
                <w:highlight w:val="cyan"/>
              </w:rPr>
            </w:pPr>
            <w:r w:rsidRPr="00707ADA">
              <w:rPr>
                <w:rFonts w:ascii="Calibri" w:hAnsi="Calibri"/>
              </w:rPr>
              <w:t xml:space="preserve">The </w:t>
            </w:r>
            <w:r w:rsidR="0094632A" w:rsidRPr="00707ADA">
              <w:rPr>
                <w:rFonts w:ascii="Calibri" w:hAnsi="Calibri"/>
              </w:rPr>
              <w:t xml:space="preserve">working group </w:t>
            </w:r>
            <w:r w:rsidRPr="00707ADA">
              <w:rPr>
                <w:rFonts w:ascii="Calibri" w:hAnsi="Calibri"/>
              </w:rPr>
              <w:t>issued an industry consultation to gauge parties views on the change with responses due back by 14 September 2021.</w:t>
            </w:r>
          </w:p>
        </w:tc>
        <w:tc>
          <w:tcPr>
            <w:tcW w:w="3544" w:type="dxa"/>
          </w:tcPr>
          <w:p w14:paraId="61EC3068" w14:textId="77777777" w:rsidR="009355D6" w:rsidRPr="00204E2D" w:rsidRDefault="009355D6" w:rsidP="009355D6">
            <w:pPr>
              <w:spacing w:after="120"/>
              <w:jc w:val="left"/>
              <w:rPr>
                <w:rFonts w:ascii="Calibri" w:hAnsi="Calibri"/>
                <w:bCs/>
              </w:rPr>
            </w:pPr>
            <w:r w:rsidRPr="00707ADA">
              <w:rPr>
                <w:rFonts w:ascii="Calibri" w:hAnsi="Calibri"/>
                <w:bCs/>
              </w:rPr>
              <w:t xml:space="preserve">This change will help customers, their electricians and installers of low carbon technologies to have connections de-energised/re-energised in a timely manner where work is required on electrical installations.  This should give some certainty on the timescales for a connection for all customers.   </w:t>
            </w:r>
          </w:p>
        </w:tc>
      </w:tr>
      <w:tr w:rsidR="008776EA" w14:paraId="7ADE70E9" w14:textId="77777777" w:rsidTr="00636AE6">
        <w:tc>
          <w:tcPr>
            <w:tcW w:w="1696" w:type="dxa"/>
            <w:shd w:val="pct12" w:color="auto" w:fill="auto"/>
          </w:tcPr>
          <w:p w14:paraId="3F7E40CE" w14:textId="77777777" w:rsidR="008776EA" w:rsidRPr="00636AE6" w:rsidRDefault="008776EA" w:rsidP="009355D6">
            <w:pPr>
              <w:spacing w:after="120"/>
              <w:jc w:val="left"/>
              <w:rPr>
                <w:b/>
              </w:rPr>
            </w:pPr>
            <w:r w:rsidRPr="00791AA4">
              <w:rPr>
                <w:b/>
              </w:rPr>
              <w:t xml:space="preserve">DCUSA Change Proposal </w:t>
            </w:r>
            <w:r w:rsidR="003752C1" w:rsidRPr="00791AA4">
              <w:rPr>
                <w:b/>
              </w:rPr>
              <w:t xml:space="preserve">(DCP) 394 </w:t>
            </w:r>
            <w:r w:rsidR="00636AE6" w:rsidRPr="00791AA4">
              <w:rPr>
                <w:b/>
              </w:rPr>
              <w:t>'Allow Any REC Accredited Meter Operator to De-energise Any Metering Point’</w:t>
            </w:r>
          </w:p>
        </w:tc>
        <w:tc>
          <w:tcPr>
            <w:tcW w:w="2552" w:type="dxa"/>
          </w:tcPr>
          <w:p w14:paraId="6988EB43" w14:textId="77777777" w:rsidR="008776EA" w:rsidRPr="00204E2D" w:rsidRDefault="00636AE6" w:rsidP="009355D6">
            <w:pPr>
              <w:spacing w:after="120"/>
              <w:jc w:val="left"/>
              <w:rPr>
                <w:rFonts w:ascii="Calibri" w:hAnsi="Calibri"/>
                <w:bCs/>
              </w:rPr>
            </w:pPr>
            <w:r w:rsidRPr="00791AA4">
              <w:rPr>
                <w:rFonts w:ascii="Calibri" w:hAnsi="Calibri"/>
                <w:bCs/>
              </w:rPr>
              <w:t>Proposed change under the Distribution Connection &amp; Use of System Agreement (DCUSA)</w:t>
            </w:r>
            <w:r w:rsidRPr="00791AA4">
              <w:t xml:space="preserve"> to widen the scope of DCUSA to allow any Retail Energy Code (REC) accredited meter operator to carry out de-energisation and re-energisation works.</w:t>
            </w:r>
          </w:p>
        </w:tc>
        <w:tc>
          <w:tcPr>
            <w:tcW w:w="1276" w:type="dxa"/>
          </w:tcPr>
          <w:p w14:paraId="44B64DAB" w14:textId="77777777" w:rsidR="008776EA" w:rsidRPr="00204E2D" w:rsidRDefault="00636AE6" w:rsidP="009355D6">
            <w:pPr>
              <w:spacing w:after="120"/>
              <w:jc w:val="left"/>
              <w:rPr>
                <w:rFonts w:ascii="Calibri" w:hAnsi="Calibri"/>
                <w:bCs/>
              </w:rPr>
            </w:pPr>
            <w:r w:rsidRPr="00791AA4">
              <w:rPr>
                <w:rFonts w:ascii="Calibri" w:hAnsi="Calibri"/>
                <w:bCs/>
              </w:rPr>
              <w:t>DCUSA</w:t>
            </w:r>
          </w:p>
        </w:tc>
        <w:tc>
          <w:tcPr>
            <w:tcW w:w="4961" w:type="dxa"/>
          </w:tcPr>
          <w:p w14:paraId="20CE7B48" w14:textId="77777777" w:rsidR="00791AA4" w:rsidRDefault="00636AE6" w:rsidP="00BC1A64">
            <w:pPr>
              <w:jc w:val="left"/>
              <w:rPr>
                <w:b/>
                <w:bCs/>
                <w:highlight w:val="cyan"/>
              </w:rPr>
            </w:pPr>
            <w:r w:rsidRPr="00DA0FC4">
              <w:rPr>
                <w:b/>
                <w:bCs/>
                <w:highlight w:val="cyan"/>
              </w:rPr>
              <w:t>Update</w:t>
            </w:r>
            <w:r w:rsidR="00791AA4">
              <w:rPr>
                <w:b/>
                <w:bCs/>
                <w:highlight w:val="cyan"/>
              </w:rPr>
              <w:t>:</w:t>
            </w:r>
            <w:r w:rsidR="006B3D70">
              <w:rPr>
                <w:b/>
                <w:bCs/>
                <w:highlight w:val="cyan"/>
              </w:rPr>
              <w:t xml:space="preserve"> This change proposal was issued for DCUSA Party votes on 19 October with votes due by 2 November. The recommendation from Parties was that this change be </w:t>
            </w:r>
            <w:proofErr w:type="gramStart"/>
            <w:r w:rsidR="006B3D70">
              <w:rPr>
                <w:b/>
                <w:bCs/>
                <w:highlight w:val="cyan"/>
              </w:rPr>
              <w:t>accepted</w:t>
            </w:r>
            <w:proofErr w:type="gramEnd"/>
            <w:r w:rsidR="006B3D70">
              <w:rPr>
                <w:b/>
                <w:bCs/>
                <w:highlight w:val="cyan"/>
              </w:rPr>
              <w:t xml:space="preserve"> and it is now with the Authority for final determination.</w:t>
            </w:r>
          </w:p>
          <w:p w14:paraId="2C5C2AAF" w14:textId="77777777" w:rsidR="00636AE6" w:rsidRPr="006B3D70" w:rsidRDefault="00791AA4" w:rsidP="00BC1A64">
            <w:pPr>
              <w:jc w:val="left"/>
              <w:rPr>
                <w:bCs/>
              </w:rPr>
            </w:pPr>
            <w:r w:rsidRPr="006B3D70">
              <w:rPr>
                <w:bCs/>
              </w:rPr>
              <w:t>Jul-22</w:t>
            </w:r>
            <w:r w:rsidR="0024613A" w:rsidRPr="006B3D70">
              <w:rPr>
                <w:bCs/>
              </w:rPr>
              <w:t xml:space="preserve"> - </w:t>
            </w:r>
            <w:r w:rsidR="00D31F15" w:rsidRPr="006B3D70">
              <w:rPr>
                <w:bCs/>
              </w:rPr>
              <w:t xml:space="preserve">On the 5 July the working group issued a consultation with responses due by 18 July. The working group </w:t>
            </w:r>
            <w:r w:rsidR="00DA0FC4" w:rsidRPr="006B3D70">
              <w:rPr>
                <w:bCs/>
              </w:rPr>
              <w:t xml:space="preserve">has </w:t>
            </w:r>
            <w:r w:rsidR="00D31F15" w:rsidRPr="006B3D70">
              <w:rPr>
                <w:bCs/>
              </w:rPr>
              <w:t>review</w:t>
            </w:r>
            <w:r w:rsidR="00DA0FC4" w:rsidRPr="006B3D70">
              <w:rPr>
                <w:bCs/>
              </w:rPr>
              <w:t>ed</w:t>
            </w:r>
            <w:r w:rsidR="00D31F15" w:rsidRPr="006B3D70">
              <w:rPr>
                <w:bCs/>
              </w:rPr>
              <w:t xml:space="preserve"> the responses and </w:t>
            </w:r>
            <w:r w:rsidR="00DA0FC4" w:rsidRPr="006B3D70">
              <w:rPr>
                <w:bCs/>
              </w:rPr>
              <w:t>is now drafting the Change Report in readiness for the Party voting stage of the process.</w:t>
            </w:r>
          </w:p>
        </w:tc>
        <w:tc>
          <w:tcPr>
            <w:tcW w:w="3544" w:type="dxa"/>
          </w:tcPr>
          <w:p w14:paraId="66DE57E2" w14:textId="77777777" w:rsidR="008776EA" w:rsidRPr="00F4461E" w:rsidDel="00E92567" w:rsidRDefault="00F4461E" w:rsidP="00F4461E">
            <w:pPr>
              <w:pStyle w:val="Default"/>
              <w:rPr>
                <w:rFonts w:asciiTheme="minorHAnsi" w:hAnsiTheme="minorHAnsi" w:cstheme="minorHAnsi"/>
                <w:sz w:val="22"/>
                <w:szCs w:val="22"/>
              </w:rPr>
            </w:pPr>
            <w:r w:rsidRPr="00791AA4">
              <w:rPr>
                <w:rFonts w:asciiTheme="minorHAnsi" w:hAnsiTheme="minorHAnsi" w:cstheme="minorHAnsi"/>
                <w:sz w:val="22"/>
                <w:szCs w:val="22"/>
              </w:rPr>
              <w:t xml:space="preserve">To allow installers of Low </w:t>
            </w:r>
            <w:r w:rsidR="00D31F15" w:rsidRPr="00791AA4">
              <w:rPr>
                <w:rFonts w:asciiTheme="minorHAnsi" w:hAnsiTheme="minorHAnsi" w:cstheme="minorHAnsi"/>
                <w:sz w:val="22"/>
                <w:szCs w:val="22"/>
              </w:rPr>
              <w:t xml:space="preserve">and Zero </w:t>
            </w:r>
            <w:r w:rsidRPr="00791AA4">
              <w:rPr>
                <w:rFonts w:asciiTheme="minorHAnsi" w:hAnsiTheme="minorHAnsi" w:cstheme="minorHAnsi"/>
                <w:sz w:val="22"/>
                <w:szCs w:val="22"/>
              </w:rPr>
              <w:t>Carbon Technologies to arrange isolations for safe working on customers’ electrical installations in a more efficient manner. For example, the meter operator could work on behalf of an EV or heat pump installer or under the direction of a local authority to carry out multiple dwelling refurbishments.</w:t>
            </w:r>
          </w:p>
        </w:tc>
      </w:tr>
      <w:tr w:rsidR="00726695" w14:paraId="7490113A" w14:textId="77777777" w:rsidTr="00767745">
        <w:tc>
          <w:tcPr>
            <w:tcW w:w="1696" w:type="dxa"/>
            <w:shd w:val="pct12" w:color="auto" w:fill="auto"/>
          </w:tcPr>
          <w:p w14:paraId="429E857E" w14:textId="77777777" w:rsidR="00726695" w:rsidRPr="00726695" w:rsidRDefault="00726695" w:rsidP="009355D6">
            <w:pPr>
              <w:spacing w:after="120"/>
              <w:jc w:val="left"/>
              <w:rPr>
                <w:b/>
              </w:rPr>
            </w:pPr>
            <w:r w:rsidRPr="00F16380">
              <w:rPr>
                <w:b/>
                <w:highlight w:val="cyan"/>
              </w:rPr>
              <w:lastRenderedPageBreak/>
              <w:t>DCUSA Change Proposal (DCP) 411 ‘Charging De-</w:t>
            </w:r>
            <w:proofErr w:type="gramStart"/>
            <w:r w:rsidRPr="00F16380">
              <w:rPr>
                <w:b/>
                <w:highlight w:val="cyan"/>
              </w:rPr>
              <w:t>energised</w:t>
            </w:r>
            <w:proofErr w:type="gramEnd"/>
            <w:r w:rsidRPr="00F16380">
              <w:rPr>
                <w:b/>
                <w:highlight w:val="cyan"/>
              </w:rPr>
              <w:t xml:space="preserve"> Sites’</w:t>
            </w:r>
          </w:p>
        </w:tc>
        <w:tc>
          <w:tcPr>
            <w:tcW w:w="2552" w:type="dxa"/>
          </w:tcPr>
          <w:p w14:paraId="56740D83" w14:textId="77777777" w:rsidR="00726695" w:rsidRPr="00B36069" w:rsidRDefault="00726695" w:rsidP="00726695">
            <w:pPr>
              <w:pStyle w:val="Default"/>
              <w:rPr>
                <w:rFonts w:ascii="Calibri" w:hAnsi="Calibri"/>
                <w:bCs/>
                <w:sz w:val="22"/>
                <w:szCs w:val="22"/>
              </w:rPr>
            </w:pPr>
            <w:r w:rsidRPr="00B36069">
              <w:rPr>
                <w:rFonts w:ascii="Calibri" w:hAnsi="Calibri"/>
                <w:bCs/>
                <w:sz w:val="22"/>
                <w:szCs w:val="22"/>
                <w:highlight w:val="cyan"/>
              </w:rPr>
              <w:t xml:space="preserve">Proposed change under the Distribution Connection &amp; Use of System Agreement (DCUSA) </w:t>
            </w:r>
            <w:r w:rsidR="00F16380" w:rsidRPr="00B36069">
              <w:rPr>
                <w:rFonts w:ascii="Calibri" w:hAnsi="Calibri"/>
                <w:bCs/>
                <w:sz w:val="22"/>
                <w:szCs w:val="22"/>
                <w:highlight w:val="cyan"/>
              </w:rPr>
              <w:t>to remove the different treatment of DUoS with respect to de-energised sites.</w:t>
            </w:r>
          </w:p>
          <w:p w14:paraId="3D373328" w14:textId="77777777" w:rsidR="00726695" w:rsidRPr="00204E2D" w:rsidRDefault="00726695" w:rsidP="009355D6">
            <w:pPr>
              <w:spacing w:after="120"/>
              <w:jc w:val="left"/>
              <w:rPr>
                <w:rFonts w:ascii="Calibri" w:hAnsi="Calibri"/>
                <w:bCs/>
              </w:rPr>
            </w:pPr>
          </w:p>
        </w:tc>
        <w:tc>
          <w:tcPr>
            <w:tcW w:w="1276" w:type="dxa"/>
          </w:tcPr>
          <w:p w14:paraId="09B253D6" w14:textId="77777777" w:rsidR="00726695" w:rsidRPr="00204E2D" w:rsidRDefault="00726695" w:rsidP="009355D6">
            <w:pPr>
              <w:spacing w:after="120"/>
              <w:jc w:val="left"/>
              <w:rPr>
                <w:rFonts w:ascii="Calibri" w:hAnsi="Calibri"/>
                <w:bCs/>
              </w:rPr>
            </w:pPr>
            <w:r w:rsidRPr="00F16380">
              <w:rPr>
                <w:rFonts w:ascii="Calibri" w:hAnsi="Calibri"/>
                <w:bCs/>
                <w:highlight w:val="cyan"/>
              </w:rPr>
              <w:t>DCUSA</w:t>
            </w:r>
          </w:p>
        </w:tc>
        <w:tc>
          <w:tcPr>
            <w:tcW w:w="4961" w:type="dxa"/>
          </w:tcPr>
          <w:p w14:paraId="1946E51A" w14:textId="77777777" w:rsidR="00726695" w:rsidRPr="00F16380" w:rsidRDefault="00F16380" w:rsidP="00BC1A64">
            <w:pPr>
              <w:jc w:val="left"/>
              <w:rPr>
                <w:b/>
                <w:bCs/>
              </w:rPr>
            </w:pPr>
            <w:r w:rsidRPr="00F16380">
              <w:rPr>
                <w:b/>
                <w:bCs/>
                <w:highlight w:val="cyan"/>
              </w:rPr>
              <w:t>A Working Group has been set up to develop this change proposal and a consultation was issued to DCUSA Parties on 19 November with response due by 8 December.</w:t>
            </w:r>
          </w:p>
        </w:tc>
        <w:tc>
          <w:tcPr>
            <w:tcW w:w="3544" w:type="dxa"/>
            <w:vAlign w:val="center"/>
          </w:tcPr>
          <w:p w14:paraId="4FCFDE4D" w14:textId="77777777" w:rsidR="00726695" w:rsidDel="00E92567" w:rsidRDefault="00F16380" w:rsidP="009355D6">
            <w:pPr>
              <w:jc w:val="left"/>
            </w:pPr>
            <w:r w:rsidRPr="00F16380">
              <w:rPr>
                <w:highlight w:val="cyan"/>
              </w:rPr>
              <w:t xml:space="preserve">Distributors have an obligation to maintain a connection. Associated to this is the maintenance of the capacity of the connection. DUoS </w:t>
            </w:r>
            <w:proofErr w:type="gramStart"/>
            <w:r w:rsidRPr="00F16380">
              <w:rPr>
                <w:highlight w:val="cyan"/>
              </w:rPr>
              <w:t>is</w:t>
            </w:r>
            <w:proofErr w:type="gramEnd"/>
            <w:r w:rsidRPr="00F16380">
              <w:rPr>
                <w:highlight w:val="cyan"/>
              </w:rPr>
              <w:t xml:space="preserve"> charged to recover the costs of maintaining the connection and the capacity but it is not charged for de-energised sites on site-specific billing or aggregated billing.  De-energised sites, with site-specific billing, </w:t>
            </w:r>
            <w:proofErr w:type="gramStart"/>
            <w:r w:rsidRPr="00F16380">
              <w:rPr>
                <w:highlight w:val="cyan"/>
              </w:rPr>
              <w:t>are able to</w:t>
            </w:r>
            <w:proofErr w:type="gramEnd"/>
            <w:r w:rsidRPr="00F16380">
              <w:rPr>
                <w:highlight w:val="cyan"/>
              </w:rPr>
              <w:t xml:space="preserve"> retain capacity on the network without being charged for it under the current methodologies.</w:t>
            </w:r>
          </w:p>
        </w:tc>
      </w:tr>
      <w:tr w:rsidR="009355D6" w14:paraId="3CF0CCFE" w14:textId="77777777" w:rsidTr="00767745">
        <w:tc>
          <w:tcPr>
            <w:tcW w:w="1696" w:type="dxa"/>
            <w:shd w:val="pct12" w:color="auto" w:fill="auto"/>
          </w:tcPr>
          <w:p w14:paraId="55F1D56E" w14:textId="77777777" w:rsidR="009355D6" w:rsidRPr="00F36E03" w:rsidRDefault="0001170F" w:rsidP="009355D6">
            <w:pPr>
              <w:spacing w:after="120"/>
              <w:jc w:val="left"/>
              <w:rPr>
                <w:rFonts w:ascii="Calibri" w:hAnsi="Calibri"/>
                <w:b/>
                <w:bCs/>
              </w:rPr>
            </w:pPr>
            <w:hyperlink r:id="rId13" w:history="1">
              <w:r w:rsidR="009355D6" w:rsidRPr="00F36E03">
                <w:rPr>
                  <w:rFonts w:ascii="Calibri" w:hAnsi="Calibri"/>
                  <w:b/>
                  <w:u w:val="single"/>
                </w:rPr>
                <w:t>Targeted charging review</w:t>
              </w:r>
              <w:r w:rsidR="009355D6" w:rsidRPr="00F36E03">
                <w:rPr>
                  <w:rFonts w:ascii="Calibri" w:hAnsi="Calibri"/>
                  <w:b/>
                </w:rPr>
                <w:t>: Significant code review</w:t>
              </w:r>
            </w:hyperlink>
            <w:r w:rsidR="009355D6" w:rsidRPr="00F36E03">
              <w:rPr>
                <w:rFonts w:ascii="Calibri" w:hAnsi="Calibri"/>
                <w:b/>
                <w:bCs/>
              </w:rPr>
              <w:t>.</w:t>
            </w:r>
          </w:p>
        </w:tc>
        <w:tc>
          <w:tcPr>
            <w:tcW w:w="2552" w:type="dxa"/>
          </w:tcPr>
          <w:p w14:paraId="3995C470" w14:textId="77777777" w:rsidR="009355D6" w:rsidRPr="00204E2D" w:rsidRDefault="009355D6" w:rsidP="009355D6">
            <w:pPr>
              <w:spacing w:after="120"/>
              <w:jc w:val="left"/>
              <w:rPr>
                <w:rFonts w:ascii="Calibri" w:hAnsi="Calibri"/>
                <w:bCs/>
              </w:rPr>
            </w:pPr>
            <w:r w:rsidRPr="00204E2D">
              <w:rPr>
                <w:rFonts w:ascii="Calibri" w:hAnsi="Calibri"/>
                <w:bCs/>
              </w:rPr>
              <w:t>This is Ofgem’s method to review current industry rules/frameworks and this review will focus on:</w:t>
            </w:r>
          </w:p>
          <w:p w14:paraId="419DD09B" w14:textId="77777777" w:rsidR="009355D6" w:rsidRPr="00204E2D" w:rsidRDefault="009355D6" w:rsidP="009355D6">
            <w:pPr>
              <w:spacing w:after="120"/>
              <w:jc w:val="left"/>
              <w:rPr>
                <w:rFonts w:ascii="Calibri" w:hAnsi="Calibri"/>
                <w:bCs/>
              </w:rPr>
            </w:pPr>
            <w:r w:rsidRPr="00204E2D">
              <w:rPr>
                <w:rFonts w:ascii="Calibri" w:hAnsi="Calibri"/>
                <w:bCs/>
              </w:rPr>
              <w:t>consideration of reform of residual charging for transmission and distribution, for both generation and demand, to ensure it meets the interests of consumers, both now and in future; and</w:t>
            </w:r>
          </w:p>
          <w:p w14:paraId="5E58B4EE" w14:textId="77777777" w:rsidR="009355D6" w:rsidRPr="00204E2D" w:rsidRDefault="009355D6" w:rsidP="009355D6">
            <w:pPr>
              <w:spacing w:after="120"/>
              <w:jc w:val="left"/>
              <w:rPr>
                <w:rFonts w:ascii="Calibri" w:hAnsi="Calibri"/>
                <w:bCs/>
              </w:rPr>
            </w:pPr>
            <w:r w:rsidRPr="00204E2D">
              <w:rPr>
                <w:rFonts w:ascii="Calibri" w:hAnsi="Calibri"/>
                <w:bCs/>
              </w:rPr>
              <w:t xml:space="preserve">keeping the other ‘embedded benefits’ that may be distorting </w:t>
            </w:r>
            <w:r w:rsidRPr="00204E2D">
              <w:rPr>
                <w:rFonts w:ascii="Calibri" w:hAnsi="Calibri"/>
                <w:bCs/>
              </w:rPr>
              <w:lastRenderedPageBreak/>
              <w:t xml:space="preserve">investment or dispatch decisions under review. </w:t>
            </w:r>
          </w:p>
          <w:p w14:paraId="0C21FA83" w14:textId="77777777" w:rsidR="009355D6" w:rsidRPr="006D196E" w:rsidRDefault="009355D6" w:rsidP="009355D6">
            <w:pPr>
              <w:spacing w:after="120"/>
              <w:jc w:val="left"/>
              <w:rPr>
                <w:rFonts w:ascii="Calibri" w:hAnsi="Calibri"/>
                <w:b/>
                <w:bCs/>
                <w:highlight w:val="yellow"/>
              </w:rPr>
            </w:pPr>
          </w:p>
        </w:tc>
        <w:tc>
          <w:tcPr>
            <w:tcW w:w="1276" w:type="dxa"/>
          </w:tcPr>
          <w:p w14:paraId="0E942439" w14:textId="77777777" w:rsidR="009355D6" w:rsidRPr="00204E2D" w:rsidRDefault="009355D6" w:rsidP="009355D6">
            <w:pPr>
              <w:spacing w:after="120"/>
              <w:jc w:val="left"/>
              <w:rPr>
                <w:rFonts w:ascii="Calibri" w:hAnsi="Calibri"/>
                <w:bCs/>
              </w:rPr>
            </w:pPr>
            <w:r w:rsidRPr="00204E2D">
              <w:rPr>
                <w:rFonts w:ascii="Calibri" w:hAnsi="Calibri"/>
                <w:bCs/>
              </w:rPr>
              <w:lastRenderedPageBreak/>
              <w:t>Ofgem</w:t>
            </w:r>
            <w:r w:rsidRPr="00204E2D">
              <w:rPr>
                <w:rFonts w:ascii="Calibri" w:hAnsi="Calibri"/>
                <w:b/>
                <w:bCs/>
                <w:color w:val="485C6D"/>
              </w:rPr>
              <w:t xml:space="preserve"> </w:t>
            </w:r>
          </w:p>
        </w:tc>
        <w:tc>
          <w:tcPr>
            <w:tcW w:w="4961" w:type="dxa"/>
          </w:tcPr>
          <w:p w14:paraId="643E4DC3" w14:textId="77777777" w:rsidR="00BC1A64" w:rsidRPr="00655978" w:rsidRDefault="00655978" w:rsidP="00BC1A64">
            <w:pPr>
              <w:jc w:val="left"/>
              <w:rPr>
                <w:bCs/>
              </w:rPr>
            </w:pPr>
            <w:r w:rsidRPr="00655978">
              <w:rPr>
                <w:bCs/>
              </w:rPr>
              <w:t>Mar-22</w:t>
            </w:r>
            <w:r w:rsidR="00BC1A64" w:rsidRPr="00655978">
              <w:rPr>
                <w:bCs/>
              </w:rPr>
              <w:t xml:space="preserve"> - The Authority approved the remaining CUSC modifications for implementation on 1 April 2023:</w:t>
            </w:r>
          </w:p>
          <w:p w14:paraId="453A0E60" w14:textId="77777777" w:rsidR="00BC1A64" w:rsidRPr="00655978" w:rsidRDefault="00BC1A64" w:rsidP="00BC1A64">
            <w:pPr>
              <w:jc w:val="left"/>
              <w:rPr>
                <w:bCs/>
              </w:rPr>
            </w:pPr>
            <w:r w:rsidRPr="00655978">
              <w:rPr>
                <w:bCs/>
              </w:rPr>
              <w:t>CMP343 (WACM2)/CMP340 (Original) - Transmission Demand Residual Bandings and allocation (TCR)</w:t>
            </w:r>
          </w:p>
          <w:p w14:paraId="5F465F3A" w14:textId="77777777" w:rsidR="00BC1A64" w:rsidRPr="00655978" w:rsidRDefault="00BC1A64" w:rsidP="00BC1A64">
            <w:pPr>
              <w:jc w:val="left"/>
              <w:rPr>
                <w:bCs/>
              </w:rPr>
            </w:pPr>
            <w:r w:rsidRPr="00655978">
              <w:rPr>
                <w:bCs/>
              </w:rPr>
              <w:t>CMP335 (Original)/CMP336 (WACM1) - Transmission Demand Residual, billing and consequential changes to CUSC</w:t>
            </w:r>
          </w:p>
          <w:p w14:paraId="7E4819C0" w14:textId="4AD548CF" w:rsidR="009355D6" w:rsidRPr="00707ADA" w:rsidRDefault="009355D6" w:rsidP="0001170F">
            <w:pPr>
              <w:jc w:val="left"/>
              <w:rPr>
                <w:rFonts w:ascii="Calibri" w:hAnsi="Calibri"/>
                <w:bCs/>
              </w:rPr>
            </w:pPr>
            <w:r w:rsidRPr="009C2FA5">
              <w:rPr>
                <w:bCs/>
              </w:rPr>
              <w:t xml:space="preserve">The TCR outcome requires modifications to be raised against relevant industry codes and Ofgem requires National Grid Electricity System Operator (NGESO) and separately, the electricity Distribution Network Operators (DNOs) to work together and bring forward modification proposals to be progressed through workgroups over the next few months and </w:t>
            </w:r>
            <w:r w:rsidRPr="009C2FA5">
              <w:rPr>
                <w:bCs/>
              </w:rPr>
              <w:lastRenderedPageBreak/>
              <w:t>submitted to Ofgem in time to allow implementation within the specified timeframes. Consequently, on the 20 December 2019 the Energy Networks Association, on behalf of NGESO and the DNOs, provided the joint plan to Ofgem setting out how they will work together and collaborate with other relevant industry stakeholders to achieve the timeframes.</w:t>
            </w:r>
          </w:p>
        </w:tc>
        <w:tc>
          <w:tcPr>
            <w:tcW w:w="3544" w:type="dxa"/>
            <w:vAlign w:val="center"/>
          </w:tcPr>
          <w:p w14:paraId="2F10C393" w14:textId="77777777" w:rsidR="009355D6" w:rsidRPr="00204E2D" w:rsidDel="00E92567" w:rsidRDefault="009355D6" w:rsidP="009355D6">
            <w:pPr>
              <w:jc w:val="left"/>
            </w:pPr>
            <w:r w:rsidDel="00E92567">
              <w:lastRenderedPageBreak/>
              <w:t xml:space="preserve">To spread the </w:t>
            </w:r>
            <w:r w:rsidRPr="00204E2D" w:rsidDel="00E92567">
              <w:t xml:space="preserve">costs of maintaining the electricity grid more fairly </w:t>
            </w:r>
            <w:r w:rsidDel="00E92567">
              <w:t>providing savings for consumers</w:t>
            </w:r>
            <w:r w:rsidRPr="00204E2D" w:rsidDel="00E92567">
              <w:t>.</w:t>
            </w:r>
          </w:p>
          <w:p w14:paraId="312BBCBD" w14:textId="77777777" w:rsidR="009355D6" w:rsidRDefault="009355D6" w:rsidP="009355D6">
            <w:pPr>
              <w:spacing w:after="120"/>
              <w:jc w:val="left"/>
              <w:rPr>
                <w:rFonts w:ascii="Calibri" w:hAnsi="Calibri"/>
                <w:bCs/>
              </w:rPr>
            </w:pPr>
            <w:r>
              <w:rPr>
                <w:rFonts w:ascii="Calibri" w:hAnsi="Calibri"/>
                <w:bCs/>
              </w:rPr>
              <w:t>The objective of both the Target Charging and Access and Forward-looking charges review t</w:t>
            </w:r>
            <w:r w:rsidDel="00E92567">
              <w:rPr>
                <w:rFonts w:ascii="Calibri" w:hAnsi="Calibri"/>
                <w:bCs/>
              </w:rPr>
              <w:t xml:space="preserve">his </w:t>
            </w:r>
            <w:r>
              <w:rPr>
                <w:rFonts w:ascii="Calibri" w:hAnsi="Calibri"/>
                <w:bCs/>
              </w:rPr>
              <w:t>Significant Code Reviews are</w:t>
            </w:r>
            <w:r w:rsidDel="00E92567">
              <w:rPr>
                <w:rFonts w:ascii="Calibri" w:hAnsi="Calibri"/>
                <w:bCs/>
              </w:rPr>
              <w:t xml:space="preserve"> </w:t>
            </w:r>
            <w:r>
              <w:rPr>
                <w:rFonts w:ascii="Calibri" w:hAnsi="Calibri"/>
                <w:bCs/>
              </w:rPr>
              <w:t xml:space="preserve">to </w:t>
            </w:r>
            <w:r w:rsidRPr="00AD3898">
              <w:rPr>
                <w:rFonts w:ascii="Calibri" w:hAnsi="Calibri"/>
                <w:bCs/>
              </w:rPr>
              <w:t>ensur</w:t>
            </w:r>
            <w:r>
              <w:rPr>
                <w:rFonts w:ascii="Calibri" w:hAnsi="Calibri"/>
                <w:bCs/>
              </w:rPr>
              <w:t>e</w:t>
            </w:r>
            <w:r w:rsidRPr="00AD3898">
              <w:rPr>
                <w:rFonts w:ascii="Calibri" w:hAnsi="Calibri"/>
                <w:bCs/>
              </w:rPr>
              <w:t xml:space="preserve"> that electricity networks are used efficiently and flexibly, reflecting users’ needs and allowing consumers to benefit from new technologies and services while avoiding unnecessary costs on energy bills in general</w:t>
            </w:r>
            <w:r>
              <w:rPr>
                <w:rFonts w:ascii="Calibri" w:hAnsi="Calibri"/>
                <w:bCs/>
              </w:rPr>
              <w:t xml:space="preserve">.  </w:t>
            </w:r>
          </w:p>
          <w:p w14:paraId="75F46C6F" w14:textId="77777777" w:rsidR="009355D6" w:rsidRPr="00204E2D" w:rsidRDefault="009355D6" w:rsidP="009355D6">
            <w:pPr>
              <w:spacing w:after="120"/>
              <w:jc w:val="left"/>
              <w:rPr>
                <w:rFonts w:ascii="Calibri" w:hAnsi="Calibri"/>
                <w:bCs/>
              </w:rPr>
            </w:pPr>
            <w:r>
              <w:rPr>
                <w:rFonts w:ascii="Calibri" w:hAnsi="Calibri"/>
                <w:bCs/>
              </w:rPr>
              <w:t xml:space="preserve">It could significantly affect community energy projects because </w:t>
            </w:r>
            <w:r>
              <w:rPr>
                <w:rFonts w:ascii="Calibri" w:hAnsi="Calibri"/>
                <w:bCs/>
              </w:rPr>
              <w:lastRenderedPageBreak/>
              <w:t>it may impact the cost of connections and use of network charges paid by demand and generation customers.</w:t>
            </w:r>
          </w:p>
        </w:tc>
      </w:tr>
      <w:bookmarkStart w:id="2" w:name="_Hlk89759287"/>
      <w:tr w:rsidR="009355D6" w:rsidRPr="00315E1C" w14:paraId="27A3A973" w14:textId="77777777" w:rsidTr="00B36069">
        <w:tc>
          <w:tcPr>
            <w:tcW w:w="1696" w:type="dxa"/>
            <w:shd w:val="pct12" w:color="auto" w:fill="auto"/>
          </w:tcPr>
          <w:p w14:paraId="7CF5110C" w14:textId="5385312A" w:rsidR="009355D6" w:rsidRPr="00F36E03" w:rsidRDefault="009355D6" w:rsidP="009355D6">
            <w:pPr>
              <w:spacing w:after="120"/>
              <w:jc w:val="left"/>
              <w:rPr>
                <w:rFonts w:ascii="Calibri" w:hAnsi="Calibri"/>
                <w:b/>
                <w:bCs/>
                <w:color w:val="485C6D"/>
              </w:rPr>
            </w:pPr>
            <w:r w:rsidRPr="00F36E03">
              <w:lastRenderedPageBreak/>
              <w:fldChar w:fldCharType="begin"/>
            </w:r>
            <w:r w:rsidRPr="00F36E03">
              <w:rPr>
                <w:b/>
              </w:rPr>
              <w:instrText xml:space="preserve"> HYPERLINK "https://www.ofgem.gov.uk/electricity/retail-market/market-review-and-reform/smarter-markets-programme/switching-programme" </w:instrText>
            </w:r>
            <w:r w:rsidRPr="00F36E03">
              <w:fldChar w:fldCharType="separate"/>
            </w:r>
            <w:r w:rsidRPr="00F36E03">
              <w:rPr>
                <w:rStyle w:val="Hyperlink"/>
                <w:b/>
              </w:rPr>
              <w:t>Switching – Significant Code Review</w:t>
            </w:r>
            <w:r w:rsidRPr="00F36E03">
              <w:rPr>
                <w:rStyle w:val="Hyperlink"/>
                <w:b/>
              </w:rPr>
              <w:fldChar w:fldCharType="end"/>
            </w:r>
            <w:bookmarkEnd w:id="2"/>
          </w:p>
        </w:tc>
        <w:tc>
          <w:tcPr>
            <w:tcW w:w="2552" w:type="dxa"/>
          </w:tcPr>
          <w:p w14:paraId="609C0553" w14:textId="77777777" w:rsidR="009355D6" w:rsidRPr="00F4552B" w:rsidRDefault="00186A47" w:rsidP="009355D6">
            <w:pPr>
              <w:spacing w:after="120"/>
              <w:jc w:val="left"/>
              <w:rPr>
                <w:rFonts w:ascii="Calibri" w:hAnsi="Calibri"/>
                <w:bCs/>
              </w:rPr>
            </w:pPr>
            <w:r>
              <w:rPr>
                <w:rFonts w:ascii="Calibri" w:hAnsi="Calibri"/>
                <w:bCs/>
              </w:rPr>
              <w:t xml:space="preserve">Ofgem </w:t>
            </w:r>
            <w:r w:rsidRPr="00791AA4">
              <w:rPr>
                <w:rFonts w:ascii="Calibri" w:hAnsi="Calibri"/>
                <w:bCs/>
              </w:rPr>
              <w:t>has implemented</w:t>
            </w:r>
            <w:r w:rsidR="009355D6" w:rsidRPr="00F4552B">
              <w:rPr>
                <w:rFonts w:ascii="Calibri" w:hAnsi="Calibri"/>
                <w:bCs/>
              </w:rPr>
              <w:t xml:space="preserve"> changes to switching arrangements that will enable consumers to switch their energy supplier reliably and quickly. </w:t>
            </w:r>
          </w:p>
          <w:p w14:paraId="5C8526AE" w14:textId="77777777" w:rsidR="009355D6" w:rsidRPr="00204E2D" w:rsidRDefault="009355D6" w:rsidP="009355D6">
            <w:pPr>
              <w:spacing w:after="120"/>
              <w:jc w:val="left"/>
              <w:rPr>
                <w:rFonts w:ascii="Calibri" w:hAnsi="Calibri"/>
                <w:b/>
                <w:bCs/>
                <w:color w:val="485C6D"/>
              </w:rPr>
            </w:pPr>
            <w:r w:rsidRPr="00F4552B">
              <w:rPr>
                <w:rFonts w:ascii="Calibri" w:hAnsi="Calibri"/>
              </w:rPr>
              <w:t xml:space="preserve">The provisions underpinning switching </w:t>
            </w:r>
            <w:r w:rsidR="00186A47" w:rsidRPr="00791AA4">
              <w:rPr>
                <w:rFonts w:ascii="Calibri" w:hAnsi="Calibri"/>
              </w:rPr>
              <w:t xml:space="preserve">have </w:t>
            </w:r>
            <w:r w:rsidRPr="00791AA4">
              <w:rPr>
                <w:rFonts w:ascii="Calibri" w:hAnsi="Calibri"/>
              </w:rPr>
              <w:t>be</w:t>
            </w:r>
            <w:r w:rsidR="00186A47" w:rsidRPr="00791AA4">
              <w:rPr>
                <w:rFonts w:ascii="Calibri" w:hAnsi="Calibri"/>
              </w:rPr>
              <w:t>en</w:t>
            </w:r>
            <w:r w:rsidRPr="00791AA4">
              <w:rPr>
                <w:rFonts w:ascii="Calibri" w:hAnsi="Calibri"/>
              </w:rPr>
              <w:t xml:space="preserve"> included in the Retail Energy Code </w:t>
            </w:r>
            <w:r w:rsidR="00186A47" w:rsidRPr="00791AA4">
              <w:rPr>
                <w:rFonts w:ascii="Calibri" w:hAnsi="Calibri"/>
              </w:rPr>
              <w:t>(REC) v3.0. This version ca</w:t>
            </w:r>
            <w:r w:rsidRPr="00791AA4">
              <w:rPr>
                <w:rFonts w:ascii="Calibri" w:hAnsi="Calibri"/>
              </w:rPr>
              <w:t xml:space="preserve">me into force at the same time as the new switching systems and processes, </w:t>
            </w:r>
            <w:r w:rsidR="00186A47" w:rsidRPr="00791AA4">
              <w:rPr>
                <w:rFonts w:ascii="Calibri" w:hAnsi="Calibri"/>
              </w:rPr>
              <w:t>in July 2022.</w:t>
            </w:r>
          </w:p>
        </w:tc>
        <w:tc>
          <w:tcPr>
            <w:tcW w:w="1276" w:type="dxa"/>
          </w:tcPr>
          <w:p w14:paraId="7B29BFC4" w14:textId="77777777" w:rsidR="009355D6" w:rsidRPr="00204E2D" w:rsidRDefault="009355D6" w:rsidP="009355D6">
            <w:pPr>
              <w:spacing w:after="120"/>
              <w:jc w:val="left"/>
              <w:rPr>
                <w:rFonts w:ascii="Calibri" w:hAnsi="Calibri"/>
                <w:bCs/>
              </w:rPr>
            </w:pPr>
            <w:r w:rsidRPr="00F4552B">
              <w:rPr>
                <w:rFonts w:ascii="Calibri" w:hAnsi="Calibri"/>
                <w:bCs/>
              </w:rPr>
              <w:t>Ofgem</w:t>
            </w:r>
          </w:p>
        </w:tc>
        <w:tc>
          <w:tcPr>
            <w:tcW w:w="4961" w:type="dxa"/>
            <w:shd w:val="clear" w:color="auto" w:fill="FFFFFF" w:themeFill="background1"/>
          </w:tcPr>
          <w:p w14:paraId="0BAECB40" w14:textId="4EC4C08E" w:rsidR="008A08A6" w:rsidRPr="00B36069" w:rsidRDefault="00655978" w:rsidP="00B36069">
            <w:pPr>
              <w:spacing w:before="0" w:after="0"/>
              <w:rPr>
                <w:rFonts w:cstheme="minorHAnsi"/>
                <w:b/>
              </w:rPr>
            </w:pPr>
            <w:r w:rsidRPr="00B36069">
              <w:rPr>
                <w:rFonts w:cstheme="minorHAnsi"/>
                <w:b/>
                <w:bCs/>
                <w:highlight w:val="cyan"/>
              </w:rPr>
              <w:t>Update</w:t>
            </w:r>
            <w:r w:rsidR="0024613A" w:rsidRPr="00B36069">
              <w:rPr>
                <w:rFonts w:cstheme="minorHAnsi"/>
                <w:b/>
                <w:bCs/>
                <w:highlight w:val="cyan"/>
              </w:rPr>
              <w:t xml:space="preserve"> - </w:t>
            </w:r>
            <w:r w:rsidRPr="00B36069">
              <w:rPr>
                <w:rFonts w:cstheme="minorHAnsi"/>
                <w:b/>
                <w:bCs/>
                <w:highlight w:val="cyan"/>
              </w:rPr>
              <w:t xml:space="preserve"> </w:t>
            </w:r>
            <w:r w:rsidR="00B81C17" w:rsidRPr="00B36069">
              <w:rPr>
                <w:rFonts w:cstheme="minorHAnsi"/>
                <w:b/>
                <w:bCs/>
                <w:highlight w:val="cyan"/>
              </w:rPr>
              <w:t xml:space="preserve">On the 17 October 2022, Ofgem published a </w:t>
            </w:r>
            <w:hyperlink r:id="rId14" w:history="1">
              <w:r w:rsidR="00B81C17" w:rsidRPr="00B36069">
                <w:rPr>
                  <w:rStyle w:val="Hyperlink"/>
                  <w:rFonts w:cstheme="minorHAnsi"/>
                  <w:b/>
                  <w:bCs/>
                  <w:highlight w:val="cyan"/>
                </w:rPr>
                <w:t>letter</w:t>
              </w:r>
            </w:hyperlink>
            <w:r w:rsidR="00B81C17" w:rsidRPr="00B36069">
              <w:rPr>
                <w:rFonts w:cstheme="minorHAnsi"/>
                <w:b/>
                <w:bCs/>
                <w:highlight w:val="cyan"/>
              </w:rPr>
              <w:t xml:space="preserve"> confirming the Switching Significant Code Review (SCR) has successfully delivered the significant changes required to the industry codes to provide for the new switching arrangements under the Switching Programme, which went live on 18th July 2022.  As such, they have therefore now designat</w:t>
            </w:r>
            <w:r w:rsidR="0001170F">
              <w:rPr>
                <w:rFonts w:cstheme="minorHAnsi"/>
                <w:b/>
                <w:bCs/>
                <w:highlight w:val="cyan"/>
              </w:rPr>
              <w:t xml:space="preserve">ed the Switching SCR as closed </w:t>
            </w:r>
            <w:r w:rsidR="00B81C17" w:rsidRPr="00B36069">
              <w:rPr>
                <w:rFonts w:cstheme="minorHAnsi"/>
                <w:b/>
                <w:bCs/>
                <w:highlight w:val="cyan"/>
              </w:rPr>
              <w:t xml:space="preserve">and confirmed that the Switching SCR </w:t>
            </w:r>
            <w:proofErr w:type="gramStart"/>
            <w:r w:rsidR="00B81C17" w:rsidRPr="00B36069">
              <w:rPr>
                <w:rFonts w:cstheme="minorHAnsi"/>
                <w:b/>
                <w:bCs/>
                <w:highlight w:val="cyan"/>
              </w:rPr>
              <w:t>as a whole has</w:t>
            </w:r>
            <w:proofErr w:type="gramEnd"/>
            <w:r w:rsidR="00B81C17" w:rsidRPr="00B36069">
              <w:rPr>
                <w:rFonts w:cstheme="minorHAnsi"/>
                <w:b/>
                <w:bCs/>
                <w:highlight w:val="cyan"/>
              </w:rPr>
              <w:t xml:space="preserve"> ended</w:t>
            </w:r>
            <w:r w:rsidR="00B81C17" w:rsidRPr="00B36069">
              <w:rPr>
                <w:rFonts w:cstheme="minorHAnsi"/>
                <w:b/>
                <w:color w:val="1D2B39"/>
                <w:highlight w:val="cyan"/>
                <w:lang w:val="en"/>
              </w:rPr>
              <w:t>.</w:t>
            </w:r>
          </w:p>
        </w:tc>
        <w:tc>
          <w:tcPr>
            <w:tcW w:w="3544" w:type="dxa"/>
          </w:tcPr>
          <w:p w14:paraId="4BB81244" w14:textId="77777777" w:rsidR="009355D6" w:rsidRPr="009E5EB0" w:rsidRDefault="009355D6" w:rsidP="009355D6">
            <w:pPr>
              <w:spacing w:after="120"/>
              <w:rPr>
                <w:bCs/>
              </w:rPr>
            </w:pPr>
            <w:r w:rsidRPr="009E5EB0">
              <w:rPr>
                <w:bCs/>
              </w:rPr>
              <w:t>T</w:t>
            </w:r>
            <w:r w:rsidR="00186A47">
              <w:rPr>
                <w:bCs/>
              </w:rPr>
              <w:t xml:space="preserve">he rationale for </w:t>
            </w:r>
            <w:r w:rsidR="00186A47" w:rsidRPr="00791AA4">
              <w:rPr>
                <w:bCs/>
              </w:rPr>
              <w:t>intervention was</w:t>
            </w:r>
            <w:r w:rsidRPr="00791AA4">
              <w:rPr>
                <w:bCs/>
              </w:rPr>
              <w:t xml:space="preserve"> the current switching arrangements</w:t>
            </w:r>
            <w:r w:rsidRPr="009E5EB0">
              <w:rPr>
                <w:bCs/>
              </w:rPr>
              <w:t xml:space="preserve"> result in negative outcomes for some consumers and were designed in the last century and potentially act as a brake on innovation. </w:t>
            </w:r>
          </w:p>
          <w:p w14:paraId="6FA1A77F" w14:textId="77777777" w:rsidR="009355D6" w:rsidRDefault="009355D6" w:rsidP="009355D6">
            <w:pPr>
              <w:spacing w:after="120"/>
              <w:jc w:val="left"/>
              <w:rPr>
                <w:rFonts w:ascii="Calibri" w:hAnsi="Calibri"/>
                <w:bCs/>
              </w:rPr>
            </w:pPr>
          </w:p>
        </w:tc>
      </w:tr>
      <w:tr w:rsidR="00206040" w:rsidRPr="00BC443B" w14:paraId="22BEE305" w14:textId="77777777" w:rsidTr="00767745">
        <w:tc>
          <w:tcPr>
            <w:tcW w:w="1696" w:type="dxa"/>
            <w:shd w:val="pct12" w:color="auto" w:fill="auto"/>
          </w:tcPr>
          <w:p w14:paraId="4CA8736C" w14:textId="77777777" w:rsidR="00206040" w:rsidRPr="00F36E03" w:rsidRDefault="0001170F" w:rsidP="009355D6">
            <w:pPr>
              <w:spacing w:after="120"/>
              <w:jc w:val="left"/>
              <w:rPr>
                <w:b/>
                <w:highlight w:val="cyan"/>
              </w:rPr>
            </w:pPr>
            <w:hyperlink r:id="rId15" w:history="1">
              <w:r w:rsidR="00206040" w:rsidRPr="00F36E03">
                <w:rPr>
                  <w:rStyle w:val="Hyperlink"/>
                  <w:b/>
                </w:rPr>
                <w:t>Reforming the Energy Codes – Significant Code Review</w:t>
              </w:r>
            </w:hyperlink>
          </w:p>
        </w:tc>
        <w:tc>
          <w:tcPr>
            <w:tcW w:w="2552" w:type="dxa"/>
            <w:shd w:val="clear" w:color="auto" w:fill="auto"/>
          </w:tcPr>
          <w:p w14:paraId="7560DD7C" w14:textId="77777777" w:rsidR="00206040" w:rsidRPr="00BC443B" w:rsidRDefault="00206040" w:rsidP="009355D6">
            <w:pPr>
              <w:autoSpaceDE w:val="0"/>
              <w:autoSpaceDN w:val="0"/>
              <w:adjustRightInd w:val="0"/>
              <w:spacing w:before="0" w:after="0"/>
              <w:jc w:val="left"/>
              <w:rPr>
                <w:rFonts w:ascii="Calibri" w:hAnsi="Calibri"/>
                <w:highlight w:val="cyan"/>
              </w:rPr>
            </w:pPr>
            <w:r w:rsidRPr="00BC443B">
              <w:rPr>
                <w:rFonts w:ascii="Calibri" w:hAnsi="Calibri"/>
                <w:highlight w:val="cyan"/>
              </w:rPr>
              <w:t xml:space="preserve"> </w:t>
            </w:r>
            <w:r w:rsidRPr="003B7BED">
              <w:rPr>
                <w:rFonts w:ascii="Calibri" w:hAnsi="Calibri"/>
              </w:rPr>
              <w:t xml:space="preserve">BEIS and Ofgem are </w:t>
            </w:r>
            <w:r w:rsidR="00C67412" w:rsidRPr="003B7BED">
              <w:t xml:space="preserve">jointly developing options for improving the 12 gas and electricity </w:t>
            </w:r>
            <w:r w:rsidR="00BC443B" w:rsidRPr="003B7BED">
              <w:t xml:space="preserve">codes and relevant engineering standards </w:t>
            </w:r>
            <w:r w:rsidR="00C67412" w:rsidRPr="003B7BED">
              <w:t xml:space="preserve">and their </w:t>
            </w:r>
            <w:r w:rsidR="00C67412" w:rsidRPr="003B7BED">
              <w:lastRenderedPageBreak/>
              <w:t>governance (7 code managers and 5 delivery bodies).</w:t>
            </w:r>
          </w:p>
        </w:tc>
        <w:tc>
          <w:tcPr>
            <w:tcW w:w="1276" w:type="dxa"/>
          </w:tcPr>
          <w:p w14:paraId="201DC36D" w14:textId="77777777" w:rsidR="00206040" w:rsidRPr="00BC443B" w:rsidRDefault="00206040" w:rsidP="009355D6">
            <w:pPr>
              <w:spacing w:after="120"/>
              <w:jc w:val="left"/>
              <w:rPr>
                <w:rFonts w:ascii="Calibri" w:hAnsi="Calibri"/>
                <w:bCs/>
                <w:highlight w:val="cyan"/>
              </w:rPr>
            </w:pPr>
          </w:p>
        </w:tc>
        <w:tc>
          <w:tcPr>
            <w:tcW w:w="4961" w:type="dxa"/>
            <w:shd w:val="clear" w:color="auto" w:fill="auto"/>
          </w:tcPr>
          <w:p w14:paraId="75A81822" w14:textId="73571725" w:rsidR="00C67412" w:rsidRPr="008A08A6" w:rsidRDefault="00C67412" w:rsidP="00C67412">
            <w:pPr>
              <w:spacing w:before="0" w:after="0"/>
            </w:pPr>
            <w:r w:rsidRPr="008A08A6">
              <w:t xml:space="preserve">This </w:t>
            </w:r>
            <w:r w:rsidR="00FE6776" w:rsidRPr="008A08A6">
              <w:t>is one of the slower moving SCRs</w:t>
            </w:r>
            <w:r w:rsidRPr="008A08A6">
              <w:t>, work to date by BEIS and Ofgem includes:</w:t>
            </w:r>
          </w:p>
          <w:p w14:paraId="4CB2D426" w14:textId="77777777" w:rsidR="00C67412" w:rsidRPr="008A08A6" w:rsidRDefault="00C67412" w:rsidP="00C67412">
            <w:pPr>
              <w:pStyle w:val="ListParagraph"/>
              <w:numPr>
                <w:ilvl w:val="0"/>
                <w:numId w:val="12"/>
              </w:numPr>
              <w:spacing w:before="0" w:after="0"/>
            </w:pPr>
            <w:r w:rsidRPr="008A08A6">
              <w:t xml:space="preserve">In 2019,  and invite to a series of </w:t>
            </w:r>
            <w:hyperlink r:id="rId16" w:history="1">
              <w:r w:rsidRPr="008A08A6">
                <w:rPr>
                  <w:rStyle w:val="Hyperlink"/>
                </w:rPr>
                <w:t>workshops</w:t>
              </w:r>
            </w:hyperlink>
            <w:r w:rsidRPr="008A08A6">
              <w:t xml:space="preserve"> and the publication of a first </w:t>
            </w:r>
            <w:hyperlink r:id="rId17" w:history="1">
              <w:r w:rsidRPr="008A08A6">
                <w:rPr>
                  <w:rStyle w:val="Hyperlink"/>
                </w:rPr>
                <w:t>consultation</w:t>
              </w:r>
            </w:hyperlink>
            <w:r w:rsidRPr="008A08A6">
              <w:t xml:space="preserve"> on this SCR proposed reforms in four areas: providing 1) strategic direction, 2) empowering and </w:t>
            </w:r>
            <w:r w:rsidRPr="008A08A6">
              <w:lastRenderedPageBreak/>
              <w:t xml:space="preserve">accountable code management, 3) increase independence of decision-making and 4) code simplification and consolidation). </w:t>
            </w:r>
          </w:p>
          <w:p w14:paraId="0381A321" w14:textId="77777777" w:rsidR="00C67412" w:rsidRPr="008A08A6" w:rsidRDefault="00C67412" w:rsidP="009355D6">
            <w:pPr>
              <w:pStyle w:val="ListParagraph"/>
              <w:numPr>
                <w:ilvl w:val="0"/>
                <w:numId w:val="12"/>
              </w:numPr>
              <w:spacing w:after="120"/>
            </w:pPr>
            <w:r w:rsidRPr="008A08A6">
              <w:t xml:space="preserve">In 2020, the </w:t>
            </w:r>
            <w:hyperlink r:id="rId18" w:history="1">
              <w:r w:rsidRPr="008A08A6">
                <w:rPr>
                  <w:rStyle w:val="Hyperlink"/>
                </w:rPr>
                <w:t>summary of responses</w:t>
              </w:r>
            </w:hyperlink>
            <w:r w:rsidRPr="008A08A6">
              <w:t xml:space="preserve"> to the first consultation</w:t>
            </w:r>
          </w:p>
          <w:p w14:paraId="1F5BDCFE" w14:textId="77777777" w:rsidR="00664C29" w:rsidRPr="008A08A6" w:rsidRDefault="00C67412" w:rsidP="00664C29">
            <w:pPr>
              <w:pStyle w:val="ListParagraph"/>
              <w:numPr>
                <w:ilvl w:val="0"/>
                <w:numId w:val="12"/>
              </w:numPr>
              <w:spacing w:after="120"/>
            </w:pPr>
            <w:r w:rsidRPr="008A08A6">
              <w:t xml:space="preserve">In 2021, the publication of a second </w:t>
            </w:r>
            <w:hyperlink r:id="rId19" w:history="1">
              <w:r w:rsidRPr="008A08A6">
                <w:rPr>
                  <w:rStyle w:val="Hyperlink"/>
                </w:rPr>
                <w:t>consultation</w:t>
              </w:r>
            </w:hyperlink>
            <w:r w:rsidRPr="008A08A6">
              <w:t xml:space="preserve">, </w:t>
            </w:r>
            <w:hyperlink r:id="rId20" w:history="1">
              <w:r w:rsidRPr="008A08A6">
                <w:rPr>
                  <w:rStyle w:val="Hyperlink"/>
                </w:rPr>
                <w:t>impact assessment</w:t>
              </w:r>
            </w:hyperlink>
            <w:r w:rsidRPr="008A08A6">
              <w:t xml:space="preserve"> an workshop </w:t>
            </w:r>
            <w:hyperlink r:id="rId21" w:history="1">
              <w:r w:rsidRPr="008A08A6">
                <w:rPr>
                  <w:rStyle w:val="Hyperlink"/>
                </w:rPr>
                <w:t>invite</w:t>
              </w:r>
            </w:hyperlink>
            <w:r w:rsidRPr="008A08A6">
              <w:t xml:space="preserve"> on the design and delivery of the reform. </w:t>
            </w:r>
            <w:r w:rsidR="00FE6776" w:rsidRPr="008A08A6">
              <w:t>In their design they set out their preferred option is for Ofgem to be designated as a ‘strategic body’ over the energy codes with separate code managers.</w:t>
            </w:r>
          </w:p>
          <w:p w14:paraId="2239B200" w14:textId="77777777" w:rsidR="003B7BED" w:rsidRPr="008A08A6" w:rsidRDefault="003B7BED" w:rsidP="00664C29">
            <w:pPr>
              <w:pStyle w:val="ListParagraph"/>
              <w:numPr>
                <w:ilvl w:val="0"/>
                <w:numId w:val="12"/>
              </w:numPr>
              <w:spacing w:after="120"/>
            </w:pPr>
            <w:r w:rsidRPr="008A08A6">
              <w:t xml:space="preserve">In 2022, </w:t>
            </w:r>
            <w:r w:rsidR="00664C29" w:rsidRPr="008A08A6">
              <w:t xml:space="preserve">BEIS/Ofgem published their </w:t>
            </w:r>
            <w:hyperlink r:id="rId22" w:history="1">
              <w:r w:rsidR="00664C29" w:rsidRPr="008A08A6">
                <w:rPr>
                  <w:rStyle w:val="Hyperlink"/>
                </w:rPr>
                <w:t>response</w:t>
              </w:r>
            </w:hyperlink>
            <w:r w:rsidR="00664C29" w:rsidRPr="008A08A6">
              <w:t xml:space="preserve"> to both the 2019 and 2021 consultations and also to set out some high-level details on their legislative proposals. </w:t>
            </w:r>
          </w:p>
          <w:p w14:paraId="1A6E668B" w14:textId="77777777" w:rsidR="00206040" w:rsidRPr="008A08A6" w:rsidRDefault="00D9201F" w:rsidP="009355D6">
            <w:pPr>
              <w:spacing w:after="120"/>
              <w:rPr>
                <w:bCs/>
              </w:rPr>
            </w:pPr>
            <w:r w:rsidRPr="008A08A6">
              <w:rPr>
                <w:bCs/>
              </w:rPr>
              <w:t xml:space="preserve">BEIS and Ofgem </w:t>
            </w:r>
            <w:r w:rsidR="00664C29" w:rsidRPr="008A08A6">
              <w:rPr>
                <w:bCs/>
              </w:rPr>
              <w:t xml:space="preserve">updated </w:t>
            </w:r>
            <w:r w:rsidRPr="008A08A6">
              <w:rPr>
                <w:bCs/>
              </w:rPr>
              <w:t>timetable:</w:t>
            </w:r>
          </w:p>
          <w:p w14:paraId="1860B359" w14:textId="77777777" w:rsidR="00664C29" w:rsidRPr="008A08A6" w:rsidRDefault="00664C29" w:rsidP="00664C29">
            <w:pPr>
              <w:numPr>
                <w:ilvl w:val="0"/>
                <w:numId w:val="20"/>
              </w:numPr>
              <w:spacing w:before="0" w:after="0"/>
              <w:jc w:val="left"/>
              <w:rPr>
                <w:rFonts w:eastAsia="Times New Roman"/>
              </w:rPr>
            </w:pPr>
            <w:r w:rsidRPr="008A08A6">
              <w:rPr>
                <w:rFonts w:eastAsia="Times New Roman"/>
              </w:rPr>
              <w:t>2022 – Engagement on the following topics:</w:t>
            </w:r>
          </w:p>
          <w:p w14:paraId="50CD106F" w14:textId="77777777" w:rsidR="00664C29" w:rsidRPr="008A08A6" w:rsidRDefault="00664C29" w:rsidP="00664C29">
            <w:pPr>
              <w:numPr>
                <w:ilvl w:val="0"/>
                <w:numId w:val="22"/>
              </w:numPr>
              <w:spacing w:before="0" w:after="0"/>
              <w:jc w:val="left"/>
              <w:rPr>
                <w:rFonts w:eastAsia="Times New Roman"/>
              </w:rPr>
            </w:pPr>
            <w:r w:rsidRPr="008A08A6">
              <w:rPr>
                <w:rFonts w:eastAsia="Times New Roman"/>
              </w:rPr>
              <w:t>Detailed elements of code reform</w:t>
            </w:r>
          </w:p>
          <w:p w14:paraId="65FC4784" w14:textId="77777777" w:rsidR="00664C29" w:rsidRPr="008A08A6" w:rsidRDefault="00664C29" w:rsidP="00664C29">
            <w:pPr>
              <w:numPr>
                <w:ilvl w:val="0"/>
                <w:numId w:val="22"/>
              </w:numPr>
              <w:spacing w:before="0" w:after="0"/>
              <w:jc w:val="left"/>
              <w:rPr>
                <w:rFonts w:eastAsia="Times New Roman"/>
              </w:rPr>
            </w:pPr>
            <w:r w:rsidRPr="008A08A6">
              <w:rPr>
                <w:rFonts w:eastAsia="Times New Roman"/>
              </w:rPr>
              <w:t>Roles of Stakeholder Advisory Forums (as industry will no longer have a seat on Code Panels)</w:t>
            </w:r>
          </w:p>
          <w:p w14:paraId="1A5080F3" w14:textId="77777777" w:rsidR="00664C29" w:rsidRPr="008A08A6" w:rsidRDefault="00664C29" w:rsidP="00664C29">
            <w:pPr>
              <w:numPr>
                <w:ilvl w:val="0"/>
                <w:numId w:val="22"/>
              </w:numPr>
              <w:spacing w:before="0" w:after="0"/>
              <w:jc w:val="left"/>
              <w:rPr>
                <w:rFonts w:eastAsia="Times New Roman"/>
              </w:rPr>
            </w:pPr>
            <w:r w:rsidRPr="008A08A6">
              <w:rPr>
                <w:rFonts w:eastAsia="Times New Roman"/>
              </w:rPr>
              <w:t xml:space="preserve">Development of a </w:t>
            </w:r>
            <w:proofErr w:type="gramStart"/>
            <w:r w:rsidRPr="008A08A6">
              <w:rPr>
                <w:rFonts w:eastAsia="Times New Roman"/>
              </w:rPr>
              <w:t>high level</w:t>
            </w:r>
            <w:proofErr w:type="gramEnd"/>
            <w:r w:rsidRPr="008A08A6">
              <w:rPr>
                <w:rFonts w:eastAsia="Times New Roman"/>
              </w:rPr>
              <w:t xml:space="preserve"> plan for code consolidation</w:t>
            </w:r>
          </w:p>
          <w:p w14:paraId="1D6FB6A2" w14:textId="77777777" w:rsidR="00664C29" w:rsidRPr="008A08A6" w:rsidRDefault="00664C29" w:rsidP="00664C29">
            <w:pPr>
              <w:numPr>
                <w:ilvl w:val="0"/>
                <w:numId w:val="22"/>
              </w:numPr>
              <w:spacing w:before="0" w:after="0"/>
              <w:jc w:val="left"/>
              <w:rPr>
                <w:rFonts w:eastAsia="Times New Roman"/>
              </w:rPr>
            </w:pPr>
            <w:r w:rsidRPr="008A08A6">
              <w:rPr>
                <w:rFonts w:eastAsia="Times New Roman"/>
              </w:rPr>
              <w:t>Open letter from Ofgem on its intended approach to implementation, transitions and stakeholder engagement</w:t>
            </w:r>
          </w:p>
          <w:p w14:paraId="61BE1BD9" w14:textId="77777777" w:rsidR="00664C29" w:rsidRPr="008A08A6" w:rsidRDefault="00664C29" w:rsidP="00664C29">
            <w:pPr>
              <w:numPr>
                <w:ilvl w:val="0"/>
                <w:numId w:val="20"/>
              </w:numPr>
              <w:spacing w:before="0" w:after="0"/>
              <w:jc w:val="left"/>
              <w:rPr>
                <w:rFonts w:eastAsia="Times New Roman"/>
              </w:rPr>
            </w:pPr>
            <w:r w:rsidRPr="008A08A6">
              <w:rPr>
                <w:rFonts w:eastAsia="Times New Roman"/>
              </w:rPr>
              <w:t>2022- 23 - Primary legislation changes  </w:t>
            </w:r>
          </w:p>
          <w:p w14:paraId="553F3A1C" w14:textId="77777777" w:rsidR="00664C29" w:rsidRPr="008A08A6" w:rsidRDefault="00664C29" w:rsidP="00664C29">
            <w:pPr>
              <w:numPr>
                <w:ilvl w:val="0"/>
                <w:numId w:val="20"/>
              </w:numPr>
              <w:spacing w:before="0" w:after="0"/>
              <w:jc w:val="left"/>
              <w:rPr>
                <w:rFonts w:eastAsia="Times New Roman"/>
              </w:rPr>
            </w:pPr>
            <w:r w:rsidRPr="008A08A6">
              <w:rPr>
                <w:rFonts w:eastAsia="Times New Roman"/>
              </w:rPr>
              <w:t xml:space="preserve">2023 - Ofgem new strategic function established </w:t>
            </w:r>
          </w:p>
          <w:p w14:paraId="75A51BAF" w14:textId="77777777" w:rsidR="00C67412" w:rsidRPr="008A08A6" w:rsidRDefault="00664C29" w:rsidP="008A08A6">
            <w:pPr>
              <w:numPr>
                <w:ilvl w:val="0"/>
                <w:numId w:val="20"/>
              </w:numPr>
              <w:spacing w:before="0" w:after="0"/>
              <w:jc w:val="left"/>
              <w:rPr>
                <w:rFonts w:eastAsia="Times New Roman"/>
              </w:rPr>
            </w:pPr>
            <w:r w:rsidRPr="008A08A6">
              <w:rPr>
                <w:rFonts w:eastAsia="Times New Roman"/>
              </w:rPr>
              <w:t>2023 onwards – changes to licences, codes and contracts to facilitate transition</w:t>
            </w:r>
          </w:p>
          <w:p w14:paraId="5A240EC5" w14:textId="77777777" w:rsidR="00D9201F" w:rsidRPr="00BC443B" w:rsidRDefault="00D9201F" w:rsidP="009355D6">
            <w:pPr>
              <w:spacing w:after="120"/>
              <w:rPr>
                <w:b/>
                <w:bCs/>
                <w:highlight w:val="cyan"/>
              </w:rPr>
            </w:pPr>
          </w:p>
        </w:tc>
        <w:tc>
          <w:tcPr>
            <w:tcW w:w="3544" w:type="dxa"/>
          </w:tcPr>
          <w:p w14:paraId="345781B2" w14:textId="77777777" w:rsidR="00206040" w:rsidRPr="00F36E03" w:rsidRDefault="00FE6776" w:rsidP="009355D6">
            <w:pPr>
              <w:pStyle w:val="Default"/>
              <w:rPr>
                <w:rFonts w:asciiTheme="minorHAnsi" w:hAnsiTheme="minorHAnsi" w:cstheme="minorBidi"/>
                <w:bCs/>
                <w:color w:val="auto"/>
                <w:sz w:val="22"/>
                <w:szCs w:val="22"/>
              </w:rPr>
            </w:pPr>
            <w:r w:rsidRPr="00F36E03">
              <w:rPr>
                <w:rFonts w:asciiTheme="minorHAnsi" w:hAnsiTheme="minorHAnsi" w:cstheme="minorBidi"/>
                <w:bCs/>
                <w:color w:val="auto"/>
                <w:sz w:val="22"/>
                <w:szCs w:val="22"/>
              </w:rPr>
              <w:lastRenderedPageBreak/>
              <w:t>The rationale for intervention is to allow the codes to facilitate the significant changes required to transition to a cleaner energy system, such as code consolidation and simplification.</w:t>
            </w:r>
          </w:p>
          <w:p w14:paraId="1C17533F" w14:textId="77777777" w:rsidR="00FE6776" w:rsidRPr="00BC443B" w:rsidRDefault="00FE6776" w:rsidP="009355D6">
            <w:pPr>
              <w:pStyle w:val="Default"/>
              <w:rPr>
                <w:rFonts w:asciiTheme="minorHAnsi" w:hAnsiTheme="minorHAnsi" w:cstheme="minorBidi"/>
                <w:bCs/>
                <w:color w:val="auto"/>
                <w:sz w:val="22"/>
                <w:szCs w:val="22"/>
                <w:highlight w:val="cyan"/>
              </w:rPr>
            </w:pPr>
          </w:p>
          <w:p w14:paraId="45E15999" w14:textId="77777777" w:rsidR="00FE6776" w:rsidRPr="00F36E03" w:rsidRDefault="00FE6776" w:rsidP="009355D6">
            <w:pPr>
              <w:pStyle w:val="Default"/>
              <w:rPr>
                <w:rFonts w:asciiTheme="minorHAnsi" w:hAnsiTheme="minorHAnsi" w:cstheme="minorBidi"/>
                <w:bCs/>
                <w:color w:val="auto"/>
                <w:sz w:val="22"/>
                <w:szCs w:val="22"/>
              </w:rPr>
            </w:pPr>
            <w:r w:rsidRPr="00F36E03">
              <w:rPr>
                <w:rFonts w:asciiTheme="minorHAnsi" w:hAnsiTheme="minorHAnsi" w:cstheme="minorBidi"/>
                <w:bCs/>
                <w:color w:val="auto"/>
                <w:sz w:val="22"/>
                <w:szCs w:val="22"/>
              </w:rPr>
              <w:t xml:space="preserve">The benefits to consumers and industry </w:t>
            </w:r>
            <w:r w:rsidR="00BC443B" w:rsidRPr="00F36E03">
              <w:rPr>
                <w:rFonts w:asciiTheme="minorHAnsi" w:hAnsiTheme="minorHAnsi" w:cstheme="minorBidi"/>
                <w:bCs/>
                <w:color w:val="auto"/>
                <w:sz w:val="22"/>
                <w:szCs w:val="22"/>
              </w:rPr>
              <w:t>would be to lower</w:t>
            </w:r>
            <w:r w:rsidRPr="00F36E03">
              <w:rPr>
                <w:rFonts w:asciiTheme="minorHAnsi" w:hAnsiTheme="minorHAnsi" w:cstheme="minorBidi"/>
                <w:bCs/>
                <w:color w:val="auto"/>
                <w:sz w:val="22"/>
                <w:szCs w:val="22"/>
              </w:rPr>
              <w:t xml:space="preserve"> ba</w:t>
            </w:r>
            <w:r w:rsidR="00BC443B" w:rsidRPr="00F36E03">
              <w:rPr>
                <w:rFonts w:asciiTheme="minorHAnsi" w:hAnsiTheme="minorHAnsi" w:cstheme="minorBidi"/>
                <w:bCs/>
                <w:color w:val="auto"/>
                <w:sz w:val="22"/>
                <w:szCs w:val="22"/>
              </w:rPr>
              <w:t>rriers to competition, improve</w:t>
            </w:r>
            <w:r w:rsidRPr="00F36E03">
              <w:rPr>
                <w:rFonts w:asciiTheme="minorHAnsi" w:hAnsiTheme="minorHAnsi" w:cstheme="minorBidi"/>
                <w:bCs/>
                <w:color w:val="auto"/>
                <w:sz w:val="22"/>
                <w:szCs w:val="22"/>
              </w:rPr>
              <w:t xml:space="preserve"> transparency </w:t>
            </w:r>
            <w:r w:rsidR="00BC443B" w:rsidRPr="00F36E03">
              <w:rPr>
                <w:rFonts w:asciiTheme="minorHAnsi" w:hAnsiTheme="minorHAnsi" w:cstheme="minorBidi"/>
                <w:bCs/>
                <w:color w:val="auto"/>
                <w:sz w:val="22"/>
                <w:szCs w:val="22"/>
              </w:rPr>
              <w:t xml:space="preserve">and accountability, and drive </w:t>
            </w:r>
            <w:r w:rsidRPr="00F36E03">
              <w:rPr>
                <w:rFonts w:asciiTheme="minorHAnsi" w:hAnsiTheme="minorHAnsi" w:cstheme="minorBidi"/>
                <w:bCs/>
                <w:color w:val="auto"/>
                <w:sz w:val="22"/>
                <w:szCs w:val="22"/>
              </w:rPr>
              <w:t>innovation.</w:t>
            </w:r>
          </w:p>
          <w:p w14:paraId="713727E2" w14:textId="77777777" w:rsidR="00BC443B" w:rsidRPr="00F36E03" w:rsidRDefault="00BC443B" w:rsidP="009355D6">
            <w:pPr>
              <w:pStyle w:val="Default"/>
              <w:rPr>
                <w:rFonts w:asciiTheme="minorHAnsi" w:hAnsiTheme="minorHAnsi" w:cstheme="minorBidi"/>
                <w:bCs/>
                <w:color w:val="auto"/>
                <w:sz w:val="22"/>
                <w:szCs w:val="22"/>
              </w:rPr>
            </w:pPr>
          </w:p>
          <w:p w14:paraId="6C01F91E" w14:textId="77777777" w:rsidR="00BC443B" w:rsidRPr="00BC443B" w:rsidRDefault="00BC443B" w:rsidP="009355D6">
            <w:pPr>
              <w:pStyle w:val="Default"/>
              <w:rPr>
                <w:sz w:val="22"/>
                <w:szCs w:val="22"/>
                <w:highlight w:val="cyan"/>
              </w:rPr>
            </w:pPr>
            <w:r w:rsidRPr="00F36E03">
              <w:rPr>
                <w:rFonts w:asciiTheme="minorHAnsi" w:hAnsiTheme="minorHAnsi" w:cstheme="minorBidi"/>
                <w:bCs/>
                <w:color w:val="auto"/>
                <w:sz w:val="22"/>
                <w:szCs w:val="22"/>
              </w:rPr>
              <w:t xml:space="preserve">BEIS and Ofgem believe the new code governance framework, with the right roles and responsibilities, has the potential to play a vital role at this critical time for our energy system by helping to bring all greenhouse gas emissions to net zero by </w:t>
            </w:r>
            <w:r w:rsidRPr="008A08A6">
              <w:rPr>
                <w:rFonts w:asciiTheme="minorHAnsi" w:hAnsiTheme="minorHAnsi" w:cstheme="minorBidi"/>
                <w:bCs/>
                <w:color w:val="auto"/>
                <w:sz w:val="22"/>
                <w:szCs w:val="22"/>
              </w:rPr>
              <w:t>2050.</w:t>
            </w:r>
            <w:r w:rsidR="00664C29" w:rsidRPr="008A08A6">
              <w:rPr>
                <w:rFonts w:asciiTheme="minorHAnsi" w:hAnsiTheme="minorHAnsi" w:cstheme="minorBidi"/>
                <w:bCs/>
                <w:color w:val="auto"/>
                <w:sz w:val="22"/>
                <w:szCs w:val="22"/>
              </w:rPr>
              <w:t xml:space="preserve"> They also recently stated that Russian/Ukraine conflict underlines the need for national security and to become energy independent.</w:t>
            </w:r>
          </w:p>
        </w:tc>
      </w:tr>
      <w:tr w:rsidR="000C6E6E" w:rsidRPr="00315E1C" w14:paraId="5AAB5D5F" w14:textId="77777777" w:rsidTr="00767745">
        <w:tc>
          <w:tcPr>
            <w:tcW w:w="1696" w:type="dxa"/>
            <w:shd w:val="pct12" w:color="auto" w:fill="auto"/>
          </w:tcPr>
          <w:p w14:paraId="1017F8AE" w14:textId="77777777" w:rsidR="000C6E6E" w:rsidRPr="00F36E03" w:rsidRDefault="000C6E6E" w:rsidP="009355D6">
            <w:pPr>
              <w:spacing w:after="120"/>
              <w:jc w:val="left"/>
              <w:rPr>
                <w:rStyle w:val="Strong"/>
                <w:rFonts w:ascii="Calibri" w:hAnsi="Calibri" w:cs="Segoe UI"/>
                <w:color w:val="081F2D"/>
                <w:lang w:val="en-US"/>
              </w:rPr>
            </w:pPr>
            <w:r w:rsidRPr="00F36E03">
              <w:rPr>
                <w:rStyle w:val="Strong"/>
                <w:rFonts w:ascii="Calibri" w:hAnsi="Calibri" w:cs="Segoe UI"/>
                <w:color w:val="081F2D"/>
                <w:lang w:val="en-US"/>
              </w:rPr>
              <w:lastRenderedPageBreak/>
              <w:t>DUoS Charges Significant Code review</w:t>
            </w:r>
          </w:p>
        </w:tc>
        <w:tc>
          <w:tcPr>
            <w:tcW w:w="2552" w:type="dxa"/>
          </w:tcPr>
          <w:p w14:paraId="02ABF817" w14:textId="77777777" w:rsidR="000C6E6E" w:rsidRPr="00C627F1" w:rsidRDefault="00C074AA" w:rsidP="009355D6">
            <w:pPr>
              <w:spacing w:after="120"/>
              <w:jc w:val="left"/>
              <w:rPr>
                <w:rFonts w:ascii="Calibri" w:hAnsi="Calibri"/>
                <w:bCs/>
                <w:highlight w:val="cyan"/>
              </w:rPr>
            </w:pPr>
            <w:r w:rsidRPr="00F36E03">
              <w:rPr>
                <w:rFonts w:ascii="Calibri" w:hAnsi="Calibri"/>
                <w:bCs/>
              </w:rPr>
              <w:t>Ofgem</w:t>
            </w:r>
          </w:p>
        </w:tc>
        <w:tc>
          <w:tcPr>
            <w:tcW w:w="1276" w:type="dxa"/>
          </w:tcPr>
          <w:p w14:paraId="1A594BC5" w14:textId="77777777" w:rsidR="000C6E6E" w:rsidRPr="00C627F1" w:rsidRDefault="00C074AA" w:rsidP="009355D6">
            <w:pPr>
              <w:spacing w:after="120"/>
              <w:jc w:val="left"/>
              <w:rPr>
                <w:rFonts w:ascii="Calibri" w:hAnsi="Calibri"/>
                <w:bCs/>
                <w:highlight w:val="cyan"/>
              </w:rPr>
            </w:pPr>
            <w:r w:rsidRPr="00F36E03">
              <w:rPr>
                <w:rFonts w:ascii="Calibri" w:hAnsi="Calibri"/>
                <w:bCs/>
              </w:rPr>
              <w:t>Recently Launched</w:t>
            </w:r>
          </w:p>
        </w:tc>
        <w:tc>
          <w:tcPr>
            <w:tcW w:w="4961" w:type="dxa"/>
          </w:tcPr>
          <w:p w14:paraId="6EBC8DFF" w14:textId="77777777" w:rsidR="005A3352" w:rsidRDefault="00791AA4" w:rsidP="00E811D1">
            <w:pPr>
              <w:spacing w:after="120"/>
              <w:jc w:val="left"/>
              <w:rPr>
                <w:b/>
                <w:highlight w:val="cyan"/>
              </w:rPr>
            </w:pPr>
            <w:r w:rsidRPr="005A3352">
              <w:rPr>
                <w:b/>
                <w:highlight w:val="cyan"/>
              </w:rPr>
              <w:t>Update:</w:t>
            </w:r>
            <w:r w:rsidR="005A3352" w:rsidRPr="005A3352">
              <w:rPr>
                <w:b/>
                <w:highlight w:val="cyan"/>
              </w:rPr>
              <w:t xml:space="preserve"> On the 8 November Ofgem advised that it would be pausing the work on the Distribution Use of System Significant Code Review (formerly within scope of the Access SCR), which will examine changes to charging signals for distribution-connected users. </w:t>
            </w:r>
          </w:p>
          <w:p w14:paraId="52A060C7" w14:textId="77777777" w:rsidR="005A3352" w:rsidRPr="005A3352" w:rsidRDefault="005A3352" w:rsidP="00E811D1">
            <w:pPr>
              <w:spacing w:after="120"/>
              <w:jc w:val="left"/>
              <w:rPr>
                <w:b/>
              </w:rPr>
            </w:pPr>
            <w:r w:rsidRPr="005A3352">
              <w:rPr>
                <w:b/>
                <w:highlight w:val="cyan"/>
              </w:rPr>
              <w:t>Ofgem considers that the methodology underpinning DUoS charges could be made more cost-reflective, and that it warrants a review, however, given the longer</w:t>
            </w:r>
            <w:r>
              <w:rPr>
                <w:b/>
                <w:highlight w:val="cyan"/>
              </w:rPr>
              <w:t>-</w:t>
            </w:r>
            <w:r w:rsidRPr="005A3352">
              <w:rPr>
                <w:b/>
                <w:highlight w:val="cyan"/>
              </w:rPr>
              <w:t>term nature of these changes, it intended to defer this work in the immediate term.</w:t>
            </w:r>
          </w:p>
          <w:p w14:paraId="6DAD96EB" w14:textId="77777777" w:rsidR="00E811D1" w:rsidRPr="00F36E03" w:rsidRDefault="00F36E03" w:rsidP="00E811D1">
            <w:pPr>
              <w:spacing w:after="120"/>
              <w:jc w:val="left"/>
            </w:pPr>
            <w:r>
              <w:t xml:space="preserve">Mar-22 - </w:t>
            </w:r>
            <w:r w:rsidR="00E811D1" w:rsidRPr="00F36E03">
              <w:t>Following consultation in November 2021, Ofgem have decided to descope the wide-ranging review of Distribution Use of System (‘DUoS’) charges from the current Electricity Network Access and Forward-Looking Charges Significant Code Review (‘Access SCR’) and take it forward under a dedicated DUoS SCR with a revised timescale.</w:t>
            </w:r>
          </w:p>
          <w:p w14:paraId="3783B367" w14:textId="77777777" w:rsidR="00C074AA" w:rsidRPr="00F36E03" w:rsidRDefault="00E811D1" w:rsidP="00E811D1">
            <w:pPr>
              <w:spacing w:after="120"/>
              <w:jc w:val="left"/>
            </w:pPr>
            <w:r w:rsidRPr="00F36E03">
              <w:t xml:space="preserve">With immediate effect from Feb </w:t>
            </w:r>
            <w:r w:rsidR="00C627F1" w:rsidRPr="00F36E03">
              <w:t>22</w:t>
            </w:r>
            <w:r w:rsidRPr="00F36E03">
              <w:t xml:space="preserve">, Ofgem have decided to launch a separate Distribution Use of System charges SCR </w:t>
            </w:r>
            <w:proofErr w:type="gramStart"/>
            <w:r w:rsidRPr="00F36E03">
              <w:t>in order to</w:t>
            </w:r>
            <w:proofErr w:type="gramEnd"/>
            <w:r w:rsidRPr="00F36E03">
              <w:t xml:space="preserve"> take forward a review of this area whilst allowing the Access SCR to be delivered in a timel</w:t>
            </w:r>
            <w:r w:rsidR="00C627F1" w:rsidRPr="00F36E03">
              <w:t>y fashion. This decision retained</w:t>
            </w:r>
            <w:r w:rsidRPr="00F36E03">
              <w:t xml:space="preserve"> the overall objective of DUoS reform from the Access SCR - to ensure electricity networks are used efficiently and flexibly, reflecting users’ needs </w:t>
            </w:r>
            <w:r w:rsidRPr="00F36E03">
              <w:lastRenderedPageBreak/>
              <w:t>and allowing consumers to benefit from new technologies and services while avoiding unnecessary costs on energy bills in general.</w:t>
            </w:r>
          </w:p>
          <w:p w14:paraId="52863DF9" w14:textId="77777777" w:rsidR="000C6E6E" w:rsidRPr="00C627F1" w:rsidRDefault="0001170F" w:rsidP="009355D6">
            <w:pPr>
              <w:spacing w:after="120"/>
              <w:jc w:val="left"/>
              <w:rPr>
                <w:rStyle w:val="Strong"/>
                <w:rFonts w:ascii="Calibri" w:hAnsi="Calibri" w:cs="Segoe UI"/>
                <w:b w:val="0"/>
                <w:color w:val="081F2D"/>
                <w:highlight w:val="cyan"/>
                <w:lang w:val="en-US"/>
              </w:rPr>
            </w:pPr>
            <w:hyperlink r:id="rId23" w:history="1">
              <w:r w:rsidR="00C074AA" w:rsidRPr="00F36E03">
                <w:rPr>
                  <w:rStyle w:val="Hyperlink"/>
                </w:rPr>
                <w:t>Distribution Use of System Charges: Significant Code Review Launch | Ofgem</w:t>
              </w:r>
            </w:hyperlink>
          </w:p>
        </w:tc>
        <w:tc>
          <w:tcPr>
            <w:tcW w:w="3544" w:type="dxa"/>
          </w:tcPr>
          <w:p w14:paraId="03046535" w14:textId="77777777" w:rsidR="000C6E6E" w:rsidRPr="00C627F1" w:rsidRDefault="00C074AA" w:rsidP="009355D6">
            <w:pPr>
              <w:rPr>
                <w:highlight w:val="cyan"/>
              </w:rPr>
            </w:pPr>
            <w:r w:rsidRPr="00F36E03">
              <w:lastRenderedPageBreak/>
              <w:t>DUoS charges are paid by users of the local distribution grids so impact electricity consumers. DUoS charges in the ENWL area for a typical domestic customer are the lowest of all DNO groups. This reform is about how the allowed revenues set by Ofgem through price control proces</w:t>
            </w:r>
            <w:r w:rsidR="00C627F1" w:rsidRPr="00F36E03">
              <w:t>ses are recovered through the price structures for use of distribution system charges.</w:t>
            </w:r>
            <w:r w:rsidRPr="00F36E03">
              <w:t xml:space="preserve"> </w:t>
            </w:r>
          </w:p>
        </w:tc>
      </w:tr>
      <w:tr w:rsidR="009355D6" w:rsidRPr="00315E1C" w14:paraId="56D6FBA3" w14:textId="77777777" w:rsidTr="00767745">
        <w:tc>
          <w:tcPr>
            <w:tcW w:w="1696" w:type="dxa"/>
            <w:shd w:val="pct12" w:color="auto" w:fill="auto"/>
          </w:tcPr>
          <w:p w14:paraId="7B29EB6A" w14:textId="77777777" w:rsidR="009355D6" w:rsidRPr="00F36E03" w:rsidRDefault="00C627F1" w:rsidP="009355D6">
            <w:pPr>
              <w:spacing w:after="120"/>
              <w:jc w:val="left"/>
              <w:rPr>
                <w:rStyle w:val="Strong"/>
                <w:rFonts w:ascii="Calibri" w:hAnsi="Calibri" w:cs="Segoe UI"/>
                <w:color w:val="081F2D"/>
                <w:highlight w:val="cyan"/>
                <w:lang w:val="en-US"/>
              </w:rPr>
            </w:pPr>
            <w:r w:rsidRPr="00F36E03">
              <w:rPr>
                <w:rStyle w:val="Strong"/>
                <w:rFonts w:ascii="Calibri" w:hAnsi="Calibri" w:cs="Segoe UI"/>
                <w:color w:val="081F2D"/>
                <w:lang w:val="en-US"/>
              </w:rPr>
              <w:t>Retail market issues,</w:t>
            </w:r>
            <w:r w:rsidR="00BA0E92">
              <w:rPr>
                <w:rStyle w:val="Strong"/>
                <w:rFonts w:ascii="Calibri" w:hAnsi="Calibri" w:cs="Segoe UI"/>
                <w:color w:val="081F2D"/>
                <w:lang w:val="en-US"/>
              </w:rPr>
              <w:t xml:space="preserve"> </w:t>
            </w:r>
            <w:r w:rsidR="000C6E6E" w:rsidRPr="00F36E03">
              <w:rPr>
                <w:rStyle w:val="Strong"/>
                <w:rFonts w:ascii="Calibri" w:hAnsi="Calibri" w:cs="Segoe UI"/>
                <w:color w:val="081F2D"/>
                <w:lang w:val="en-US"/>
              </w:rPr>
              <w:t>regulatory reform</w:t>
            </w:r>
            <w:r w:rsidRPr="00F36E03">
              <w:rPr>
                <w:rStyle w:val="Strong"/>
                <w:rFonts w:ascii="Calibri" w:hAnsi="Calibri" w:cs="Segoe UI"/>
                <w:color w:val="081F2D"/>
                <w:lang w:val="en-US"/>
              </w:rPr>
              <w:t xml:space="preserve"> and affordability</w:t>
            </w:r>
          </w:p>
        </w:tc>
        <w:tc>
          <w:tcPr>
            <w:tcW w:w="2552" w:type="dxa"/>
          </w:tcPr>
          <w:p w14:paraId="1239338D" w14:textId="77777777" w:rsidR="009355D6" w:rsidRPr="00C627F1" w:rsidRDefault="00C627F1" w:rsidP="009355D6">
            <w:pPr>
              <w:spacing w:after="120"/>
              <w:jc w:val="left"/>
              <w:rPr>
                <w:rFonts w:ascii="Calibri" w:hAnsi="Calibri"/>
                <w:bCs/>
                <w:highlight w:val="cyan"/>
              </w:rPr>
            </w:pPr>
            <w:r w:rsidRPr="00F36E03">
              <w:rPr>
                <w:rFonts w:ascii="Calibri" w:hAnsi="Calibri"/>
                <w:bCs/>
              </w:rPr>
              <w:t>Ofgem and BEIS</w:t>
            </w:r>
          </w:p>
        </w:tc>
        <w:tc>
          <w:tcPr>
            <w:tcW w:w="1276" w:type="dxa"/>
          </w:tcPr>
          <w:p w14:paraId="377B6D62" w14:textId="77777777" w:rsidR="009355D6" w:rsidRPr="00C627F1" w:rsidRDefault="00C627F1" w:rsidP="009355D6">
            <w:pPr>
              <w:spacing w:after="120"/>
              <w:jc w:val="left"/>
              <w:rPr>
                <w:rFonts w:ascii="Calibri" w:hAnsi="Calibri"/>
                <w:bCs/>
                <w:highlight w:val="cyan"/>
              </w:rPr>
            </w:pPr>
            <w:r w:rsidRPr="00F36E03">
              <w:rPr>
                <w:rFonts w:ascii="Calibri" w:hAnsi="Calibri"/>
                <w:bCs/>
              </w:rPr>
              <w:t>Recently launched</w:t>
            </w:r>
          </w:p>
        </w:tc>
        <w:tc>
          <w:tcPr>
            <w:tcW w:w="4961" w:type="dxa"/>
          </w:tcPr>
          <w:p w14:paraId="1520152E" w14:textId="6CAA408E" w:rsidR="00791AA4" w:rsidRDefault="008A08A6" w:rsidP="009355D6">
            <w:pPr>
              <w:spacing w:after="120"/>
              <w:jc w:val="left"/>
              <w:rPr>
                <w:rStyle w:val="Strong"/>
                <w:rFonts w:ascii="Calibri" w:hAnsi="Calibri" w:cs="Segoe UI"/>
                <w:color w:val="081F2D"/>
                <w:highlight w:val="cyan"/>
                <w:lang w:val="en-US"/>
              </w:rPr>
            </w:pPr>
            <w:r w:rsidRPr="0024613A">
              <w:rPr>
                <w:rStyle w:val="Strong"/>
                <w:rFonts w:ascii="Calibri" w:hAnsi="Calibri" w:cs="Segoe UI"/>
                <w:color w:val="081F2D"/>
                <w:highlight w:val="cyan"/>
                <w:lang w:val="en-US"/>
              </w:rPr>
              <w:t>Update</w:t>
            </w:r>
            <w:r w:rsidR="00791AA4">
              <w:rPr>
                <w:rStyle w:val="Strong"/>
                <w:rFonts w:ascii="Calibri" w:hAnsi="Calibri" w:cs="Segoe UI"/>
                <w:color w:val="081F2D"/>
                <w:highlight w:val="cyan"/>
                <w:lang w:val="en-US"/>
              </w:rPr>
              <w:t>:</w:t>
            </w:r>
            <w:r w:rsidR="007A2B6D">
              <w:rPr>
                <w:rStyle w:val="Strong"/>
                <w:rFonts w:ascii="Calibri" w:hAnsi="Calibri" w:cs="Segoe UI"/>
                <w:color w:val="081F2D"/>
                <w:highlight w:val="cyan"/>
                <w:lang w:val="en-US"/>
              </w:rPr>
              <w:t xml:space="preserve"> Nov-22 Ofgem launched </w:t>
            </w:r>
            <w:proofErr w:type="gramStart"/>
            <w:r w:rsidR="007A2B6D">
              <w:rPr>
                <w:rStyle w:val="Strong"/>
                <w:rFonts w:ascii="Calibri" w:hAnsi="Calibri" w:cs="Segoe UI"/>
                <w:color w:val="081F2D"/>
                <w:highlight w:val="cyan"/>
                <w:lang w:val="en-US"/>
              </w:rPr>
              <w:t>a number of</w:t>
            </w:r>
            <w:proofErr w:type="gramEnd"/>
            <w:r w:rsidR="007A2B6D">
              <w:rPr>
                <w:rStyle w:val="Strong"/>
                <w:rFonts w:ascii="Calibri" w:hAnsi="Calibri" w:cs="Segoe UI"/>
                <w:color w:val="081F2D"/>
                <w:highlight w:val="cyan"/>
                <w:lang w:val="en-US"/>
              </w:rPr>
              <w:t xml:space="preserve"> measures to strengthen the retail market. Ofgem has been visibly much more active in public on retail market issues. </w:t>
            </w:r>
          </w:p>
          <w:p w14:paraId="6BF0AE45" w14:textId="2D3D6E04" w:rsidR="007A2B6D" w:rsidRDefault="007A2B6D" w:rsidP="009355D6">
            <w:pPr>
              <w:spacing w:after="120"/>
              <w:jc w:val="left"/>
              <w:rPr>
                <w:rStyle w:val="Strong"/>
                <w:rFonts w:ascii="Calibri" w:hAnsi="Calibri" w:cs="Segoe UI"/>
                <w:color w:val="081F2D"/>
                <w:highlight w:val="cyan"/>
                <w:lang w:val="en-US"/>
              </w:rPr>
            </w:pPr>
            <w:hyperlink r:id="rId24" w:history="1">
              <w:r>
                <w:rPr>
                  <w:rStyle w:val="Hyperlink"/>
                </w:rPr>
                <w:t>Ofgem launches new proposals to strengthen energy market and protect consumers | Ofgem</w:t>
              </w:r>
            </w:hyperlink>
          </w:p>
          <w:p w14:paraId="0AD9519E" w14:textId="77777777" w:rsidR="008A08A6" w:rsidRPr="008A08A6" w:rsidRDefault="00791AA4" w:rsidP="009355D6">
            <w:pPr>
              <w:spacing w:after="120"/>
              <w:jc w:val="left"/>
              <w:rPr>
                <w:rStyle w:val="Strong"/>
                <w:rFonts w:ascii="Calibri" w:hAnsi="Calibri" w:cs="Segoe UI"/>
                <w:color w:val="081F2D"/>
                <w:lang w:val="en-US"/>
              </w:rPr>
            </w:pPr>
            <w:r w:rsidRPr="00791AA4">
              <w:rPr>
                <w:rStyle w:val="Strong"/>
                <w:rFonts w:ascii="Calibri" w:hAnsi="Calibri" w:cs="Segoe UI"/>
                <w:b w:val="0"/>
                <w:color w:val="081F2D"/>
                <w:lang w:val="en-US"/>
              </w:rPr>
              <w:t>Sep-22</w:t>
            </w:r>
            <w:r w:rsidR="0024613A" w:rsidRPr="00791AA4">
              <w:rPr>
                <w:rStyle w:val="Strong"/>
                <w:rFonts w:ascii="Calibri" w:hAnsi="Calibri" w:cs="Segoe UI"/>
                <w:b w:val="0"/>
                <w:color w:val="081F2D"/>
                <w:lang w:val="en-US"/>
              </w:rPr>
              <w:t xml:space="preserve"> - </w:t>
            </w:r>
            <w:r w:rsidR="008A08A6" w:rsidRPr="00791AA4">
              <w:rPr>
                <w:rStyle w:val="Strong"/>
                <w:rFonts w:ascii="Calibri" w:hAnsi="Calibri" w:cs="Segoe UI"/>
                <w:b w:val="0"/>
                <w:color w:val="081F2D"/>
                <w:lang w:val="en-US"/>
              </w:rPr>
              <w:t xml:space="preserve"> </w:t>
            </w:r>
            <w:r w:rsidR="00BA0E92" w:rsidRPr="00791AA4">
              <w:rPr>
                <w:rStyle w:val="Strong"/>
                <w:rFonts w:ascii="Calibri" w:hAnsi="Calibri" w:cs="Segoe UI"/>
                <w:b w:val="0"/>
                <w:color w:val="081F2D"/>
                <w:lang w:val="en-US"/>
              </w:rPr>
              <w:t>Government announced in September a further package of measures to mitigate an otherwise steep increase in energy bills.</w:t>
            </w:r>
            <w:r w:rsidR="00BA0E92" w:rsidRPr="00791AA4">
              <w:rPr>
                <w:rStyle w:val="Strong"/>
                <w:rFonts w:ascii="Calibri" w:hAnsi="Calibri" w:cs="Segoe UI"/>
                <w:color w:val="081F2D"/>
                <w:lang w:val="en-US"/>
              </w:rPr>
              <w:t xml:space="preserve"> </w:t>
            </w:r>
            <w:r w:rsidR="00BA0E92" w:rsidRPr="00791AA4">
              <w:t xml:space="preserve"> </w:t>
            </w:r>
            <w:hyperlink r:id="rId25" w:history="1">
              <w:r w:rsidR="00BA0E92" w:rsidRPr="00791AA4">
                <w:rPr>
                  <w:rStyle w:val="Hyperlink"/>
                </w:rPr>
                <w:t>PM Liz Truss's opening speech on the energy policy debate - GOV.UK (www.gov.uk)</w:t>
              </w:r>
            </w:hyperlink>
          </w:p>
          <w:p w14:paraId="4E1CCDF3" w14:textId="77777777" w:rsidR="009355D6" w:rsidRPr="00C627F1" w:rsidRDefault="00F36E03" w:rsidP="009355D6">
            <w:pPr>
              <w:spacing w:after="120"/>
              <w:jc w:val="left"/>
              <w:rPr>
                <w:rStyle w:val="Strong"/>
                <w:rFonts w:ascii="Calibri" w:hAnsi="Calibri" w:cs="Segoe UI"/>
                <w:b w:val="0"/>
                <w:color w:val="081F2D"/>
                <w:highlight w:val="cyan"/>
                <w:lang w:val="en-US"/>
              </w:rPr>
            </w:pPr>
            <w:r w:rsidRPr="00F36E03">
              <w:rPr>
                <w:rStyle w:val="Strong"/>
                <w:rFonts w:ascii="Calibri" w:hAnsi="Calibri" w:cs="Segoe UI"/>
                <w:b w:val="0"/>
                <w:color w:val="081F2D"/>
                <w:lang w:val="en-US"/>
              </w:rPr>
              <w:t xml:space="preserve">Mar-22 - </w:t>
            </w:r>
            <w:r w:rsidR="00C627F1" w:rsidRPr="00F36E03">
              <w:rPr>
                <w:rStyle w:val="Strong"/>
                <w:rFonts w:ascii="Calibri" w:hAnsi="Calibri" w:cs="Segoe UI"/>
                <w:b w:val="0"/>
                <w:color w:val="081F2D"/>
                <w:lang w:val="en-US"/>
              </w:rPr>
              <w:t xml:space="preserve">The issues seen in the retail market are being addressed by Ofgem through a range of measures including </w:t>
            </w:r>
            <w:hyperlink r:id="rId26" w:history="1">
              <w:r w:rsidR="00C627F1" w:rsidRPr="00F36E03">
                <w:rPr>
                  <w:rStyle w:val="Hyperlink"/>
                </w:rPr>
                <w:t>Ofgem: update on stabilising the energy market | Ofgem</w:t>
              </w:r>
            </w:hyperlink>
            <w:r w:rsidR="00C627F1" w:rsidRPr="00F36E03">
              <w:t xml:space="preserve"> and other policy steps. </w:t>
            </w:r>
            <w:r w:rsidR="00C627F1" w:rsidRPr="00F36E03">
              <w:rPr>
                <w:rStyle w:val="Strong"/>
                <w:rFonts w:ascii="Calibri" w:hAnsi="Calibri" w:cs="Segoe UI"/>
                <w:b w:val="0"/>
                <w:color w:val="081F2D"/>
                <w:lang w:val="en-US"/>
              </w:rPr>
              <w:t xml:space="preserve">Government have moved to assist consumers with affordability, given the substantial increases in the energy price cap </w:t>
            </w:r>
            <w:hyperlink r:id="rId27" w:history="1">
              <w:r w:rsidR="00C627F1" w:rsidRPr="00F36E03">
                <w:rPr>
                  <w:rStyle w:val="Hyperlink"/>
                </w:rPr>
                <w:t>Millions to receive £350 boost to help with rising energy costs - GOV.UK (www.gov.uk)</w:t>
              </w:r>
            </w:hyperlink>
            <w:r w:rsidR="00C627F1" w:rsidRPr="00F36E03">
              <w:rPr>
                <w:rStyle w:val="Strong"/>
                <w:rFonts w:ascii="Calibri" w:hAnsi="Calibri" w:cs="Segoe UI"/>
                <w:b w:val="0"/>
                <w:color w:val="081F2D"/>
                <w:lang w:val="en-US"/>
              </w:rPr>
              <w:t>. Industry commentators are anticipating the price cap may increase yet further when next reset.</w:t>
            </w:r>
          </w:p>
        </w:tc>
        <w:tc>
          <w:tcPr>
            <w:tcW w:w="3544" w:type="dxa"/>
          </w:tcPr>
          <w:p w14:paraId="4215BBEB" w14:textId="77777777" w:rsidR="009355D6" w:rsidRPr="00F36E03" w:rsidRDefault="00C627F1" w:rsidP="009355D6">
            <w:r w:rsidRPr="00F36E03">
              <w:t>Energy bills, driven by wholesale costs are increasing substantially. Various policy measures are being taken, with some commentators anticipating</w:t>
            </w:r>
            <w:r w:rsidR="00F36E03" w:rsidRPr="00F36E03">
              <w:t xml:space="preserve"> further steps being announced.</w:t>
            </w:r>
          </w:p>
        </w:tc>
      </w:tr>
      <w:tr w:rsidR="0097550C" w:rsidRPr="00315E1C" w14:paraId="6FED74C7" w14:textId="77777777" w:rsidTr="00767745">
        <w:tc>
          <w:tcPr>
            <w:tcW w:w="1696" w:type="dxa"/>
            <w:shd w:val="pct12" w:color="auto" w:fill="auto"/>
          </w:tcPr>
          <w:p w14:paraId="1080912E" w14:textId="77777777" w:rsidR="0097550C" w:rsidRDefault="0097550C" w:rsidP="0097550C">
            <w:pPr>
              <w:spacing w:line="276" w:lineRule="auto"/>
              <w:rPr>
                <w:color w:val="0563C1"/>
                <w:u w:val="single"/>
              </w:rPr>
            </w:pPr>
            <w:r>
              <w:rPr>
                <w:color w:val="0563C1"/>
                <w:u w:val="single"/>
              </w:rPr>
              <w:lastRenderedPageBreak/>
              <w:t xml:space="preserve">Smart Energy Code </w:t>
            </w:r>
            <w:hyperlink r:id="rId28" w:history="1">
              <w:r>
                <w:rPr>
                  <w:rStyle w:val="Hyperlink"/>
                </w:rPr>
                <w:t>DP206 ‘Allowing Generation Licence Holders to Apply Export MPANs’</w:t>
              </w:r>
            </w:hyperlink>
          </w:p>
          <w:p w14:paraId="2F4E59F1" w14:textId="77777777" w:rsidR="0097550C" w:rsidRPr="00F36E03" w:rsidRDefault="0097550C" w:rsidP="009355D6">
            <w:pPr>
              <w:spacing w:after="120"/>
              <w:jc w:val="left"/>
              <w:rPr>
                <w:rStyle w:val="Strong"/>
                <w:rFonts w:ascii="Calibri" w:hAnsi="Calibri" w:cs="Segoe UI"/>
                <w:color w:val="081F2D"/>
                <w:lang w:val="en-US"/>
              </w:rPr>
            </w:pPr>
          </w:p>
        </w:tc>
        <w:tc>
          <w:tcPr>
            <w:tcW w:w="2552" w:type="dxa"/>
          </w:tcPr>
          <w:p w14:paraId="6BDD5049" w14:textId="77777777" w:rsidR="0097550C" w:rsidRPr="0097550C" w:rsidRDefault="0097550C" w:rsidP="0097550C">
            <w:pPr>
              <w:spacing w:after="120"/>
              <w:jc w:val="left"/>
              <w:rPr>
                <w:rFonts w:ascii="Calibri" w:hAnsi="Calibri"/>
                <w:bCs/>
                <w:highlight w:val="cyan"/>
              </w:rPr>
            </w:pPr>
            <w:r w:rsidRPr="008A08A6">
              <w:rPr>
                <w:rFonts w:ascii="Calibri" w:hAnsi="Calibri"/>
                <w:bCs/>
              </w:rPr>
              <w:t>The Change Proposal proposer says the Smart Energy Code (SEC) and its supporting technical specifications are currently written, whereby only Export Suppliers that hold an Electricity Supply Licence can apply an Export Meter Point Administration Number (MPAN) to Smart Metering Equipment Technical Specifications (SMETS) Devices. The proposer says this is preventing SEC Parties from exercising their rights under the Electricity Generation Licence, and subsequently limiting choice for domestic customers who wish to generate revenue for their export energy.</w:t>
            </w:r>
          </w:p>
        </w:tc>
        <w:tc>
          <w:tcPr>
            <w:tcW w:w="1276" w:type="dxa"/>
          </w:tcPr>
          <w:p w14:paraId="245DE347" w14:textId="77777777" w:rsidR="0097550C" w:rsidRPr="0097550C" w:rsidRDefault="0097550C" w:rsidP="009355D6">
            <w:pPr>
              <w:spacing w:after="120"/>
              <w:jc w:val="left"/>
              <w:rPr>
                <w:rFonts w:ascii="Calibri" w:hAnsi="Calibri"/>
                <w:bCs/>
                <w:highlight w:val="cyan"/>
              </w:rPr>
            </w:pPr>
            <w:r w:rsidRPr="008A08A6">
              <w:rPr>
                <w:rFonts w:ascii="Calibri" w:hAnsi="Calibri"/>
                <w:bCs/>
              </w:rPr>
              <w:t>SEC</w:t>
            </w:r>
          </w:p>
        </w:tc>
        <w:tc>
          <w:tcPr>
            <w:tcW w:w="4961" w:type="dxa"/>
          </w:tcPr>
          <w:p w14:paraId="40E4DDDB" w14:textId="34F4644B" w:rsidR="00791AA4" w:rsidRPr="0001170F" w:rsidRDefault="00791AA4" w:rsidP="008A08A6">
            <w:pPr>
              <w:spacing w:after="120"/>
              <w:jc w:val="left"/>
              <w:rPr>
                <w:rStyle w:val="Strong"/>
                <w:rFonts w:cstheme="minorHAnsi"/>
                <w:color w:val="081F2D"/>
                <w:lang w:val="en-US"/>
              </w:rPr>
            </w:pPr>
            <w:r w:rsidRPr="0001170F">
              <w:rPr>
                <w:rStyle w:val="Strong"/>
                <w:rFonts w:cstheme="minorHAnsi"/>
                <w:color w:val="081F2D"/>
                <w:highlight w:val="cyan"/>
                <w:lang w:val="en-US"/>
              </w:rPr>
              <w:t>Update</w:t>
            </w:r>
            <w:r w:rsidR="00236750" w:rsidRPr="0001170F">
              <w:rPr>
                <w:rStyle w:val="Strong"/>
                <w:rFonts w:cstheme="minorHAnsi"/>
                <w:color w:val="081F2D"/>
                <w:highlight w:val="cyan"/>
                <w:lang w:val="en-US"/>
              </w:rPr>
              <w:t xml:space="preserve">: The SEC </w:t>
            </w:r>
            <w:hyperlink r:id="rId29" w:history="1">
              <w:r w:rsidR="00236750" w:rsidRPr="0001170F">
                <w:rPr>
                  <w:rStyle w:val="Hyperlink"/>
                  <w:rFonts w:cstheme="minorHAnsi"/>
                  <w:highlight w:val="cyan"/>
                  <w:lang w:val="en-US"/>
                </w:rPr>
                <w:t>modification page</w:t>
              </w:r>
            </w:hyperlink>
            <w:r w:rsidR="00236750" w:rsidRPr="0001170F">
              <w:rPr>
                <w:rStyle w:val="Strong"/>
                <w:rFonts w:cstheme="minorHAnsi"/>
                <w:color w:val="081F2D"/>
                <w:highlight w:val="cyan"/>
                <w:lang w:val="en-US"/>
              </w:rPr>
              <w:t xml:space="preserve"> for this proposal latest update states that SECAS (SEC Administrator) </w:t>
            </w:r>
            <w:r w:rsidR="00236750" w:rsidRPr="0001170F">
              <w:rPr>
                <w:rFonts w:cstheme="minorHAnsi"/>
                <w:b/>
                <w:color w:val="3E4753"/>
                <w:highlight w:val="cyan"/>
              </w:rPr>
              <w:t>are discussing this modification with code manager colleagues from BSC/REC to determine the next steps.</w:t>
            </w:r>
          </w:p>
          <w:p w14:paraId="271FE3D7" w14:textId="77777777" w:rsidR="0097550C" w:rsidRDefault="008A08A6" w:rsidP="008A08A6">
            <w:pPr>
              <w:spacing w:after="120"/>
              <w:jc w:val="left"/>
              <w:rPr>
                <w:rFonts w:ascii="Open Sans" w:hAnsi="Open Sans"/>
                <w:color w:val="3E4753"/>
                <w:sz w:val="21"/>
                <w:szCs w:val="21"/>
              </w:rPr>
            </w:pPr>
            <w:r w:rsidRPr="008A08A6">
              <w:rPr>
                <w:rStyle w:val="Strong"/>
                <w:rFonts w:ascii="Calibri" w:hAnsi="Calibri" w:cs="Calibri"/>
                <w:b w:val="0"/>
                <w:color w:val="081F2D"/>
                <w:lang w:val="en-US"/>
              </w:rPr>
              <w:t>Jun-22</w:t>
            </w:r>
            <w:r w:rsidRPr="008A08A6">
              <w:rPr>
                <w:rStyle w:val="Strong"/>
                <w:rFonts w:ascii="Calibri" w:hAnsi="Calibri" w:cs="Calibri"/>
                <w:color w:val="081F2D"/>
                <w:lang w:val="en-US"/>
              </w:rPr>
              <w:t xml:space="preserve"> - </w:t>
            </w:r>
            <w:r w:rsidR="0097550C" w:rsidRPr="008A08A6">
              <w:rPr>
                <w:rFonts w:ascii="Calibri" w:hAnsi="Calibri" w:cs="Calibri"/>
                <w:color w:val="3E4753"/>
              </w:rPr>
              <w:t>In May 2022, the SEC Change Sub-Committee (CSC) recommended that this Draft Proposal remains in the Development Stage to better understand the impacts this issue is causing. Due to the high number of modifications which have been raised this month the CSC agreed this modification should be added to the waiting list until there is sufficient capacity to progress the Proposal</w:t>
            </w:r>
            <w:r w:rsidR="0097550C" w:rsidRPr="008A08A6">
              <w:rPr>
                <w:rFonts w:ascii="Open Sans" w:hAnsi="Open Sans"/>
                <w:color w:val="3E4753"/>
                <w:sz w:val="21"/>
                <w:szCs w:val="21"/>
              </w:rPr>
              <w:t>.</w:t>
            </w:r>
          </w:p>
          <w:p w14:paraId="0D747B50" w14:textId="6A7FFEFA" w:rsidR="00B81C17" w:rsidRPr="0097550C" w:rsidRDefault="00B81C17" w:rsidP="008A08A6">
            <w:pPr>
              <w:spacing w:after="120"/>
              <w:jc w:val="left"/>
              <w:rPr>
                <w:rStyle w:val="Strong"/>
                <w:rFonts w:ascii="Calibri" w:hAnsi="Calibri" w:cs="Segoe UI"/>
                <w:color w:val="081F2D"/>
                <w:highlight w:val="cyan"/>
                <w:lang w:val="en-US"/>
              </w:rPr>
            </w:pPr>
          </w:p>
        </w:tc>
        <w:tc>
          <w:tcPr>
            <w:tcW w:w="3544" w:type="dxa"/>
          </w:tcPr>
          <w:p w14:paraId="48AB551F" w14:textId="77777777" w:rsidR="0097550C" w:rsidRPr="0097550C" w:rsidRDefault="0097550C" w:rsidP="0097550C">
            <w:pPr>
              <w:rPr>
                <w:highlight w:val="cyan"/>
              </w:rPr>
            </w:pPr>
            <w:r w:rsidRPr="008A08A6">
              <w:t>This proposal could amend the SEC to allow companies with a generation licence to also offer a domestic customer with onsite generation a price for their export with a Smart Export Guarantee (SEG).</w:t>
            </w:r>
          </w:p>
        </w:tc>
      </w:tr>
    </w:tbl>
    <w:p w14:paraId="03A5F36D" w14:textId="77554040" w:rsidR="00010EF4" w:rsidRDefault="009161DA" w:rsidP="008A08A6">
      <w:pPr>
        <w:spacing w:after="120"/>
        <w:rPr>
          <w:rFonts w:ascii="Calibri" w:hAnsi="Calibri"/>
          <w:b/>
          <w:bCs/>
          <w:sz w:val="24"/>
          <w:szCs w:val="24"/>
        </w:rPr>
      </w:pPr>
      <w:r>
        <w:rPr>
          <w:rFonts w:ascii="Calibri" w:hAnsi="Calibri"/>
          <w:b/>
          <w:bCs/>
          <w:sz w:val="24"/>
          <w:szCs w:val="24"/>
        </w:rPr>
        <w:t xml:space="preserve">       </w:t>
      </w:r>
    </w:p>
    <w:sectPr w:rsidR="00010EF4" w:rsidSect="002E1E2C">
      <w:headerReference w:type="default" r:id="rId3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C55F4" w14:textId="77777777" w:rsidR="00302A1F" w:rsidRDefault="00302A1F" w:rsidP="005F2AB6">
      <w:pPr>
        <w:spacing w:before="0" w:after="0"/>
      </w:pPr>
      <w:r>
        <w:separator/>
      </w:r>
    </w:p>
  </w:endnote>
  <w:endnote w:type="continuationSeparator" w:id="0">
    <w:p w14:paraId="6137DD8F" w14:textId="77777777" w:rsidR="00302A1F" w:rsidRDefault="00302A1F" w:rsidP="005F2A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5C7BC" w14:textId="77777777" w:rsidR="00302A1F" w:rsidRDefault="00302A1F" w:rsidP="005F2AB6">
      <w:pPr>
        <w:spacing w:before="0" w:after="0"/>
      </w:pPr>
      <w:r>
        <w:separator/>
      </w:r>
    </w:p>
  </w:footnote>
  <w:footnote w:type="continuationSeparator" w:id="0">
    <w:p w14:paraId="6C0A7404" w14:textId="77777777" w:rsidR="00302A1F" w:rsidRDefault="00302A1F" w:rsidP="005F2AB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9FB59" w14:textId="77777777" w:rsidR="00302A1F" w:rsidRDefault="00302A1F">
    <w:pPr>
      <w:pStyle w:val="Header"/>
    </w:pPr>
    <w:r>
      <w:rPr>
        <w:noProof/>
        <w:lang w:eastAsia="en-GB"/>
      </w:rPr>
      <w:drawing>
        <wp:anchor distT="0" distB="0" distL="114300" distR="114300" simplePos="0" relativeHeight="251657216" behindDoc="1" locked="0" layoutInCell="1" allowOverlap="1" wp14:anchorId="5DD32455" wp14:editId="0825AE65">
          <wp:simplePos x="0" y="0"/>
          <wp:positionH relativeFrom="column">
            <wp:posOffset>8474406</wp:posOffset>
          </wp:positionH>
          <wp:positionV relativeFrom="paragraph">
            <wp:posOffset>-426085</wp:posOffset>
          </wp:positionV>
          <wp:extent cx="1029970" cy="1025525"/>
          <wp:effectExtent l="0" t="0" r="0" b="3175"/>
          <wp:wrapTight wrapText="bothSides">
            <wp:wrapPolygon edited="0">
              <wp:start x="19975" y="0"/>
              <wp:lineTo x="0" y="10833"/>
              <wp:lineTo x="0" y="12840"/>
              <wp:lineTo x="3995" y="21266"/>
              <wp:lineTo x="21174" y="21266"/>
              <wp:lineTo x="21174" y="0"/>
              <wp:lineTo x="19975" y="0"/>
            </wp:wrapPolygon>
          </wp:wrapTight>
          <wp:docPr id="1" name="Picture 0" descr="enw_full_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w_full_watermark.png"/>
                  <pic:cNvPicPr/>
                </pic:nvPicPr>
                <pic:blipFill>
                  <a:blip r:embed="rId1"/>
                  <a:stretch>
                    <a:fillRect/>
                  </a:stretch>
                </pic:blipFill>
                <pic:spPr>
                  <a:xfrm>
                    <a:off x="0" y="0"/>
                    <a:ext cx="1029970" cy="1025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C8F579"/>
    <w:multiLevelType w:val="hybridMultilevel"/>
    <w:tmpl w:val="CDDDAC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E2201"/>
    <w:multiLevelType w:val="hybridMultilevel"/>
    <w:tmpl w:val="B16C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D774C5"/>
    <w:multiLevelType w:val="multilevel"/>
    <w:tmpl w:val="E47CEB8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54B3907"/>
    <w:multiLevelType w:val="hybridMultilevel"/>
    <w:tmpl w:val="F47C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804EA"/>
    <w:multiLevelType w:val="multilevel"/>
    <w:tmpl w:val="6D7E0A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7E7E4F"/>
    <w:multiLevelType w:val="hybridMultilevel"/>
    <w:tmpl w:val="056A0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C05ECB"/>
    <w:multiLevelType w:val="hybridMultilevel"/>
    <w:tmpl w:val="ADE0D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CC7D3A"/>
    <w:multiLevelType w:val="hybridMultilevel"/>
    <w:tmpl w:val="BC28B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DA3CA5"/>
    <w:multiLevelType w:val="hybridMultilevel"/>
    <w:tmpl w:val="6E40F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D005D"/>
    <w:multiLevelType w:val="hybridMultilevel"/>
    <w:tmpl w:val="179C33F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B8E25A4"/>
    <w:multiLevelType w:val="hybridMultilevel"/>
    <w:tmpl w:val="0CA2F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277F7B"/>
    <w:multiLevelType w:val="hybridMultilevel"/>
    <w:tmpl w:val="D07CDD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FF6F5C"/>
    <w:multiLevelType w:val="hybridMultilevel"/>
    <w:tmpl w:val="DDE6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4409C"/>
    <w:multiLevelType w:val="hybridMultilevel"/>
    <w:tmpl w:val="A89AD024"/>
    <w:lvl w:ilvl="0" w:tplc="08090001">
      <w:start w:val="1"/>
      <w:numFmt w:val="bullet"/>
      <w:lvlText w:val=""/>
      <w:lvlJc w:val="left"/>
      <w:pPr>
        <w:ind w:left="720" w:hanging="360"/>
      </w:pPr>
      <w:rPr>
        <w:rFonts w:ascii="Symbol" w:hAnsi="Symbol" w:hint="default"/>
      </w:rPr>
    </w:lvl>
    <w:lvl w:ilvl="1" w:tplc="45C28B52">
      <w:start w:val="1"/>
      <w:numFmt w:val="bullet"/>
      <w:lvlText w:val="‒"/>
      <w:lvlJc w:val="left"/>
      <w:pPr>
        <w:ind w:left="1440" w:hanging="360"/>
      </w:pPr>
      <w:rPr>
        <w:rFonts w:ascii="Calibri"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E70360"/>
    <w:multiLevelType w:val="hybridMultilevel"/>
    <w:tmpl w:val="C11A9852"/>
    <w:lvl w:ilvl="0" w:tplc="08090001">
      <w:start w:val="1"/>
      <w:numFmt w:val="bullet"/>
      <w:lvlText w:val=""/>
      <w:lvlJc w:val="left"/>
      <w:pPr>
        <w:ind w:left="360" w:hanging="360"/>
      </w:pPr>
      <w:rPr>
        <w:rFonts w:ascii="Symbol" w:hAnsi="Symbol" w:hint="default"/>
      </w:rPr>
    </w:lvl>
    <w:lvl w:ilvl="1" w:tplc="F31AB36C">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0D7DF1"/>
    <w:multiLevelType w:val="hybridMultilevel"/>
    <w:tmpl w:val="253009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93515ED"/>
    <w:multiLevelType w:val="hybridMultilevel"/>
    <w:tmpl w:val="C0C6DDD2"/>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7" w15:restartNumberingAfterBreak="0">
    <w:nsid w:val="666E4DC3"/>
    <w:multiLevelType w:val="hybridMultilevel"/>
    <w:tmpl w:val="0AAA8110"/>
    <w:lvl w:ilvl="0" w:tplc="45C28B52">
      <w:start w:val="1"/>
      <w:numFmt w:val="bullet"/>
      <w:lvlText w:val="‒"/>
      <w:lvlJc w:val="left"/>
      <w:pPr>
        <w:ind w:left="720" w:hanging="360"/>
      </w:pPr>
      <w:rPr>
        <w:rFonts w:ascii="Calibri" w:hAnsi="Calibri" w:hint="default"/>
      </w:rPr>
    </w:lvl>
    <w:lvl w:ilvl="1" w:tplc="45C28B52">
      <w:start w:val="1"/>
      <w:numFmt w:val="bullet"/>
      <w:lvlText w:val="‒"/>
      <w:lvlJc w:val="left"/>
      <w:pPr>
        <w:ind w:left="1440" w:hanging="360"/>
      </w:pPr>
      <w:rPr>
        <w:rFonts w:ascii="Calibri"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72000BD"/>
    <w:multiLevelType w:val="hybridMultilevel"/>
    <w:tmpl w:val="52D41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42A40"/>
    <w:multiLevelType w:val="hybridMultilevel"/>
    <w:tmpl w:val="4A1EB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131BCF"/>
    <w:multiLevelType w:val="hybridMultilevel"/>
    <w:tmpl w:val="0D9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F4313"/>
    <w:multiLevelType w:val="hybridMultilevel"/>
    <w:tmpl w:val="C3DEC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513689"/>
    <w:multiLevelType w:val="hybridMultilevel"/>
    <w:tmpl w:val="AF7012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B4680"/>
    <w:multiLevelType w:val="hybridMultilevel"/>
    <w:tmpl w:val="D96E03B2"/>
    <w:lvl w:ilvl="0" w:tplc="45C28B5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6"/>
  </w:num>
  <w:num w:numId="6">
    <w:abstractNumId w:val="12"/>
  </w:num>
  <w:num w:numId="7">
    <w:abstractNumId w:val="3"/>
  </w:num>
  <w:num w:numId="8">
    <w:abstractNumId w:val="11"/>
  </w:num>
  <w:num w:numId="9">
    <w:abstractNumId w:val="19"/>
  </w:num>
  <w:num w:numId="10">
    <w:abstractNumId w:val="2"/>
  </w:num>
  <w:num w:numId="11">
    <w:abstractNumId w:val="8"/>
  </w:num>
  <w:num w:numId="12">
    <w:abstractNumId w:val="7"/>
  </w:num>
  <w:num w:numId="13">
    <w:abstractNumId w:val="21"/>
  </w:num>
  <w:num w:numId="14">
    <w:abstractNumId w:val="6"/>
  </w:num>
  <w:num w:numId="15">
    <w:abstractNumId w:val="5"/>
  </w:num>
  <w:num w:numId="16">
    <w:abstractNumId w:val="14"/>
  </w:num>
  <w:num w:numId="17">
    <w:abstractNumId w:val="18"/>
  </w:num>
  <w:num w:numId="18">
    <w:abstractNumId w:val="1"/>
  </w:num>
  <w:num w:numId="19">
    <w:abstractNumId w:val="10"/>
  </w:num>
  <w:num w:numId="20">
    <w:abstractNumId w:val="15"/>
  </w:num>
  <w:num w:numId="21">
    <w:abstractNumId w:val="13"/>
  </w:num>
  <w:num w:numId="22">
    <w:abstractNumId w:val="17"/>
  </w:num>
  <w:num w:numId="23">
    <w:abstractNumId w:val="23"/>
  </w:num>
  <w:num w:numId="24">
    <w:abstractNumId w:val="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B6"/>
    <w:rsid w:val="00000505"/>
    <w:rsid w:val="00007214"/>
    <w:rsid w:val="00010EF4"/>
    <w:rsid w:val="0001170F"/>
    <w:rsid w:val="00023321"/>
    <w:rsid w:val="00041573"/>
    <w:rsid w:val="00047320"/>
    <w:rsid w:val="0004747E"/>
    <w:rsid w:val="0006027C"/>
    <w:rsid w:val="00085D57"/>
    <w:rsid w:val="0009699E"/>
    <w:rsid w:val="000B2598"/>
    <w:rsid w:val="000B3115"/>
    <w:rsid w:val="000B4EE0"/>
    <w:rsid w:val="000C2BA4"/>
    <w:rsid w:val="000C4D4E"/>
    <w:rsid w:val="000C6E6E"/>
    <w:rsid w:val="000D1AF4"/>
    <w:rsid w:val="000E4993"/>
    <w:rsid w:val="000E5DDF"/>
    <w:rsid w:val="001010E8"/>
    <w:rsid w:val="00101EC8"/>
    <w:rsid w:val="0010690C"/>
    <w:rsid w:val="001173B7"/>
    <w:rsid w:val="00121B02"/>
    <w:rsid w:val="00123E19"/>
    <w:rsid w:val="00125538"/>
    <w:rsid w:val="0013437A"/>
    <w:rsid w:val="00134BE9"/>
    <w:rsid w:val="00151AC6"/>
    <w:rsid w:val="00161196"/>
    <w:rsid w:val="00163758"/>
    <w:rsid w:val="0016697D"/>
    <w:rsid w:val="001745DF"/>
    <w:rsid w:val="00186A47"/>
    <w:rsid w:val="00192886"/>
    <w:rsid w:val="001A3755"/>
    <w:rsid w:val="001B5D81"/>
    <w:rsid w:val="001B7FD6"/>
    <w:rsid w:val="001C366E"/>
    <w:rsid w:val="001D2244"/>
    <w:rsid w:val="001F0AE7"/>
    <w:rsid w:val="002015A6"/>
    <w:rsid w:val="00204E2D"/>
    <w:rsid w:val="00206040"/>
    <w:rsid w:val="00212A53"/>
    <w:rsid w:val="00233A90"/>
    <w:rsid w:val="00236750"/>
    <w:rsid w:val="00244264"/>
    <w:rsid w:val="0024613A"/>
    <w:rsid w:val="00252A64"/>
    <w:rsid w:val="00266A8D"/>
    <w:rsid w:val="00282DE4"/>
    <w:rsid w:val="00295EF0"/>
    <w:rsid w:val="0029729E"/>
    <w:rsid w:val="002A001C"/>
    <w:rsid w:val="002A1DF5"/>
    <w:rsid w:val="002A2C6A"/>
    <w:rsid w:val="002A5800"/>
    <w:rsid w:val="002C3BA5"/>
    <w:rsid w:val="002C4930"/>
    <w:rsid w:val="002D0D00"/>
    <w:rsid w:val="002D3461"/>
    <w:rsid w:val="002D3BA8"/>
    <w:rsid w:val="002D4CF6"/>
    <w:rsid w:val="002D747C"/>
    <w:rsid w:val="002E1E2C"/>
    <w:rsid w:val="002E4FC7"/>
    <w:rsid w:val="00302733"/>
    <w:rsid w:val="00302A1F"/>
    <w:rsid w:val="00302C41"/>
    <w:rsid w:val="003038FC"/>
    <w:rsid w:val="00304487"/>
    <w:rsid w:val="00306DC9"/>
    <w:rsid w:val="00313018"/>
    <w:rsid w:val="0031379D"/>
    <w:rsid w:val="003206E6"/>
    <w:rsid w:val="00325A85"/>
    <w:rsid w:val="00327C07"/>
    <w:rsid w:val="00354AC6"/>
    <w:rsid w:val="00354F43"/>
    <w:rsid w:val="0036205B"/>
    <w:rsid w:val="0036377A"/>
    <w:rsid w:val="00372225"/>
    <w:rsid w:val="00374FDB"/>
    <w:rsid w:val="003752C1"/>
    <w:rsid w:val="00381404"/>
    <w:rsid w:val="00385F7F"/>
    <w:rsid w:val="003A1F1E"/>
    <w:rsid w:val="003A3125"/>
    <w:rsid w:val="003A41C6"/>
    <w:rsid w:val="003B7BED"/>
    <w:rsid w:val="003C5320"/>
    <w:rsid w:val="003C72C6"/>
    <w:rsid w:val="003D398D"/>
    <w:rsid w:val="003E074F"/>
    <w:rsid w:val="003E1594"/>
    <w:rsid w:val="003E6B73"/>
    <w:rsid w:val="003E6FF7"/>
    <w:rsid w:val="003F59B1"/>
    <w:rsid w:val="00413CD0"/>
    <w:rsid w:val="00422D9B"/>
    <w:rsid w:val="004279EA"/>
    <w:rsid w:val="00447291"/>
    <w:rsid w:val="00462217"/>
    <w:rsid w:val="00467B16"/>
    <w:rsid w:val="00474591"/>
    <w:rsid w:val="00481B6B"/>
    <w:rsid w:val="00495FD1"/>
    <w:rsid w:val="004A27CD"/>
    <w:rsid w:val="004B55F4"/>
    <w:rsid w:val="004C6669"/>
    <w:rsid w:val="004E1DF4"/>
    <w:rsid w:val="004E5586"/>
    <w:rsid w:val="004F2E6D"/>
    <w:rsid w:val="004F7CC2"/>
    <w:rsid w:val="005021D8"/>
    <w:rsid w:val="0052415C"/>
    <w:rsid w:val="00525188"/>
    <w:rsid w:val="00562EDE"/>
    <w:rsid w:val="00570C2D"/>
    <w:rsid w:val="00572E0F"/>
    <w:rsid w:val="0057317E"/>
    <w:rsid w:val="00586035"/>
    <w:rsid w:val="005876C1"/>
    <w:rsid w:val="00590881"/>
    <w:rsid w:val="00594296"/>
    <w:rsid w:val="00595CDE"/>
    <w:rsid w:val="005A3352"/>
    <w:rsid w:val="005A4074"/>
    <w:rsid w:val="005A4451"/>
    <w:rsid w:val="005C1778"/>
    <w:rsid w:val="005C3569"/>
    <w:rsid w:val="005C5F39"/>
    <w:rsid w:val="005C6BC4"/>
    <w:rsid w:val="005D2E82"/>
    <w:rsid w:val="005F2AB6"/>
    <w:rsid w:val="005F313D"/>
    <w:rsid w:val="00610300"/>
    <w:rsid w:val="00610AB3"/>
    <w:rsid w:val="006110A4"/>
    <w:rsid w:val="00636AE6"/>
    <w:rsid w:val="00655978"/>
    <w:rsid w:val="00664C29"/>
    <w:rsid w:val="006675E4"/>
    <w:rsid w:val="00671552"/>
    <w:rsid w:val="00677E74"/>
    <w:rsid w:val="006909B5"/>
    <w:rsid w:val="00690ABD"/>
    <w:rsid w:val="00696A06"/>
    <w:rsid w:val="006A30F8"/>
    <w:rsid w:val="006A6ABD"/>
    <w:rsid w:val="006B360C"/>
    <w:rsid w:val="006B3D70"/>
    <w:rsid w:val="006B5A64"/>
    <w:rsid w:val="006B7723"/>
    <w:rsid w:val="006B7E60"/>
    <w:rsid w:val="006C0376"/>
    <w:rsid w:val="006D196E"/>
    <w:rsid w:val="006D24D1"/>
    <w:rsid w:val="006D4771"/>
    <w:rsid w:val="006D58B9"/>
    <w:rsid w:val="006D7897"/>
    <w:rsid w:val="006E6D42"/>
    <w:rsid w:val="006F4A0A"/>
    <w:rsid w:val="00700CF8"/>
    <w:rsid w:val="00704241"/>
    <w:rsid w:val="00707ADA"/>
    <w:rsid w:val="0071004A"/>
    <w:rsid w:val="0072351F"/>
    <w:rsid w:val="00726695"/>
    <w:rsid w:val="00731FF6"/>
    <w:rsid w:val="007330D1"/>
    <w:rsid w:val="00760933"/>
    <w:rsid w:val="00766421"/>
    <w:rsid w:val="00767745"/>
    <w:rsid w:val="00782CB1"/>
    <w:rsid w:val="0078543A"/>
    <w:rsid w:val="00785C2B"/>
    <w:rsid w:val="007918E3"/>
    <w:rsid w:val="00791AA4"/>
    <w:rsid w:val="007A2B6D"/>
    <w:rsid w:val="007A458B"/>
    <w:rsid w:val="007B58D7"/>
    <w:rsid w:val="007D47CB"/>
    <w:rsid w:val="007F4F99"/>
    <w:rsid w:val="007F5EE2"/>
    <w:rsid w:val="007F7FB2"/>
    <w:rsid w:val="008207C7"/>
    <w:rsid w:val="00846252"/>
    <w:rsid w:val="008464C9"/>
    <w:rsid w:val="0084694F"/>
    <w:rsid w:val="00850519"/>
    <w:rsid w:val="008776EA"/>
    <w:rsid w:val="00882892"/>
    <w:rsid w:val="008833DF"/>
    <w:rsid w:val="00885ED0"/>
    <w:rsid w:val="0088668A"/>
    <w:rsid w:val="00891049"/>
    <w:rsid w:val="008A08A6"/>
    <w:rsid w:val="008A4476"/>
    <w:rsid w:val="008A7578"/>
    <w:rsid w:val="008C474D"/>
    <w:rsid w:val="008C4EF9"/>
    <w:rsid w:val="008D607F"/>
    <w:rsid w:val="008E0FB3"/>
    <w:rsid w:val="00902A83"/>
    <w:rsid w:val="009068CF"/>
    <w:rsid w:val="009144B4"/>
    <w:rsid w:val="009161DA"/>
    <w:rsid w:val="009348DE"/>
    <w:rsid w:val="009350A8"/>
    <w:rsid w:val="009355D6"/>
    <w:rsid w:val="00940206"/>
    <w:rsid w:val="00942B6F"/>
    <w:rsid w:val="0094632A"/>
    <w:rsid w:val="00961112"/>
    <w:rsid w:val="009713A9"/>
    <w:rsid w:val="00971D40"/>
    <w:rsid w:val="009722D6"/>
    <w:rsid w:val="009734DB"/>
    <w:rsid w:val="0097550C"/>
    <w:rsid w:val="009879FE"/>
    <w:rsid w:val="009C1D39"/>
    <w:rsid w:val="009C2FA5"/>
    <w:rsid w:val="009D1392"/>
    <w:rsid w:val="009E5401"/>
    <w:rsid w:val="009E5EB0"/>
    <w:rsid w:val="009F4099"/>
    <w:rsid w:val="009F6064"/>
    <w:rsid w:val="00A10322"/>
    <w:rsid w:val="00A13F2B"/>
    <w:rsid w:val="00A15568"/>
    <w:rsid w:val="00A238CB"/>
    <w:rsid w:val="00A37621"/>
    <w:rsid w:val="00A50728"/>
    <w:rsid w:val="00A6595D"/>
    <w:rsid w:val="00A85294"/>
    <w:rsid w:val="00A93057"/>
    <w:rsid w:val="00A96B26"/>
    <w:rsid w:val="00AA6815"/>
    <w:rsid w:val="00AB3B54"/>
    <w:rsid w:val="00AB59DF"/>
    <w:rsid w:val="00AB74B2"/>
    <w:rsid w:val="00AC0093"/>
    <w:rsid w:val="00AC1B30"/>
    <w:rsid w:val="00AD2F66"/>
    <w:rsid w:val="00AD3898"/>
    <w:rsid w:val="00AF2162"/>
    <w:rsid w:val="00AF74A8"/>
    <w:rsid w:val="00B13EA0"/>
    <w:rsid w:val="00B2314C"/>
    <w:rsid w:val="00B36069"/>
    <w:rsid w:val="00B40308"/>
    <w:rsid w:val="00B460A9"/>
    <w:rsid w:val="00B57FE2"/>
    <w:rsid w:val="00B71099"/>
    <w:rsid w:val="00B81C17"/>
    <w:rsid w:val="00B826B5"/>
    <w:rsid w:val="00B9263C"/>
    <w:rsid w:val="00B926B4"/>
    <w:rsid w:val="00B97159"/>
    <w:rsid w:val="00BA0E92"/>
    <w:rsid w:val="00BA21E5"/>
    <w:rsid w:val="00BA4353"/>
    <w:rsid w:val="00BB1259"/>
    <w:rsid w:val="00BC053F"/>
    <w:rsid w:val="00BC0640"/>
    <w:rsid w:val="00BC1A64"/>
    <w:rsid w:val="00BC443B"/>
    <w:rsid w:val="00BD56C3"/>
    <w:rsid w:val="00BE4AA2"/>
    <w:rsid w:val="00BE64E0"/>
    <w:rsid w:val="00BF7AAF"/>
    <w:rsid w:val="00C074AA"/>
    <w:rsid w:val="00C07AC4"/>
    <w:rsid w:val="00C2294E"/>
    <w:rsid w:val="00C54228"/>
    <w:rsid w:val="00C627F1"/>
    <w:rsid w:val="00C64157"/>
    <w:rsid w:val="00C64FE3"/>
    <w:rsid w:val="00C67412"/>
    <w:rsid w:val="00C71D32"/>
    <w:rsid w:val="00C804D8"/>
    <w:rsid w:val="00CB59B7"/>
    <w:rsid w:val="00CB7841"/>
    <w:rsid w:val="00CC2FD7"/>
    <w:rsid w:val="00CD5FBF"/>
    <w:rsid w:val="00CE2902"/>
    <w:rsid w:val="00D068B9"/>
    <w:rsid w:val="00D31F15"/>
    <w:rsid w:val="00D47AEC"/>
    <w:rsid w:val="00D5760D"/>
    <w:rsid w:val="00D67991"/>
    <w:rsid w:val="00D86839"/>
    <w:rsid w:val="00D90D9F"/>
    <w:rsid w:val="00D9201F"/>
    <w:rsid w:val="00D93170"/>
    <w:rsid w:val="00D933EF"/>
    <w:rsid w:val="00D9602F"/>
    <w:rsid w:val="00DA0FC4"/>
    <w:rsid w:val="00DA33D8"/>
    <w:rsid w:val="00DA53CF"/>
    <w:rsid w:val="00DD413B"/>
    <w:rsid w:val="00DD6AE7"/>
    <w:rsid w:val="00DE11F2"/>
    <w:rsid w:val="00DF02F6"/>
    <w:rsid w:val="00DF7807"/>
    <w:rsid w:val="00E0609D"/>
    <w:rsid w:val="00E119AF"/>
    <w:rsid w:val="00E121F5"/>
    <w:rsid w:val="00E2768F"/>
    <w:rsid w:val="00E529B7"/>
    <w:rsid w:val="00E63AB0"/>
    <w:rsid w:val="00E70000"/>
    <w:rsid w:val="00E716A0"/>
    <w:rsid w:val="00E71894"/>
    <w:rsid w:val="00E748C1"/>
    <w:rsid w:val="00E75A7E"/>
    <w:rsid w:val="00E77657"/>
    <w:rsid w:val="00E811D1"/>
    <w:rsid w:val="00E84C6A"/>
    <w:rsid w:val="00E92567"/>
    <w:rsid w:val="00E9441E"/>
    <w:rsid w:val="00EA79B0"/>
    <w:rsid w:val="00EC7B31"/>
    <w:rsid w:val="00ED2BE1"/>
    <w:rsid w:val="00ED33D3"/>
    <w:rsid w:val="00ED57CE"/>
    <w:rsid w:val="00EE404E"/>
    <w:rsid w:val="00F125F1"/>
    <w:rsid w:val="00F15610"/>
    <w:rsid w:val="00F16380"/>
    <w:rsid w:val="00F31E64"/>
    <w:rsid w:val="00F36E03"/>
    <w:rsid w:val="00F4461E"/>
    <w:rsid w:val="00F4552B"/>
    <w:rsid w:val="00F45C27"/>
    <w:rsid w:val="00F556A7"/>
    <w:rsid w:val="00F56189"/>
    <w:rsid w:val="00F61E96"/>
    <w:rsid w:val="00F662F2"/>
    <w:rsid w:val="00F70CAE"/>
    <w:rsid w:val="00F92D1E"/>
    <w:rsid w:val="00F93490"/>
    <w:rsid w:val="00FA3356"/>
    <w:rsid w:val="00FB4AE9"/>
    <w:rsid w:val="00FC720C"/>
    <w:rsid w:val="00FD1978"/>
    <w:rsid w:val="00FD34CA"/>
    <w:rsid w:val="00FE1372"/>
    <w:rsid w:val="00FE6776"/>
    <w:rsid w:val="00FF6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33B3FD"/>
  <w15:docId w15:val="{81402D5D-97C4-435D-B5FD-8B73AE81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AB6"/>
    <w:pPr>
      <w:spacing w:before="240" w:after="240" w:line="240" w:lineRule="auto"/>
      <w:jc w:val="both"/>
    </w:pPr>
  </w:style>
  <w:style w:type="paragraph" w:styleId="Heading1">
    <w:name w:val="heading 1"/>
    <w:next w:val="Normal"/>
    <w:link w:val="Heading1Char"/>
    <w:qFormat/>
    <w:rsid w:val="002D3461"/>
    <w:pPr>
      <w:keepNext/>
      <w:numPr>
        <w:numId w:val="1"/>
      </w:numPr>
      <w:spacing w:before="360" w:after="120" w:line="240" w:lineRule="auto"/>
      <w:outlineLvl w:val="0"/>
    </w:pPr>
    <w:rPr>
      <w:rFonts w:asciiTheme="majorHAnsi" w:eastAsia="Times New Roman" w:hAnsiTheme="majorHAnsi" w:cs="Arial"/>
      <w:bCs/>
      <w:color w:val="00245D" w:themeColor="text1"/>
      <w:kern w:val="32"/>
      <w:sz w:val="32"/>
      <w:szCs w:val="32"/>
      <w:lang w:eastAsia="en-GB"/>
    </w:rPr>
  </w:style>
  <w:style w:type="paragraph" w:styleId="Heading2">
    <w:name w:val="heading 2"/>
    <w:basedOn w:val="Normal"/>
    <w:next w:val="Normal"/>
    <w:link w:val="Heading2Char"/>
    <w:uiPriority w:val="9"/>
    <w:unhideWhenUsed/>
    <w:qFormat/>
    <w:rsid w:val="002D3461"/>
    <w:pPr>
      <w:keepNext/>
      <w:keepLines/>
      <w:numPr>
        <w:ilvl w:val="1"/>
        <w:numId w:val="1"/>
      </w:numPr>
      <w:spacing w:before="360"/>
      <w:jc w:val="left"/>
      <w:outlineLvl w:val="1"/>
    </w:pPr>
    <w:rPr>
      <w:rFonts w:asciiTheme="majorHAnsi" w:eastAsiaTheme="majorEastAsia" w:hAnsiTheme="majorHAnsi" w:cstheme="majorBidi"/>
      <w:color w:val="00245D" w:themeColor="text1"/>
      <w:sz w:val="28"/>
      <w:szCs w:val="26"/>
    </w:rPr>
  </w:style>
  <w:style w:type="paragraph" w:styleId="Heading3">
    <w:name w:val="heading 3"/>
    <w:basedOn w:val="Normal"/>
    <w:next w:val="Normal"/>
    <w:link w:val="Heading3Char"/>
    <w:uiPriority w:val="9"/>
    <w:unhideWhenUsed/>
    <w:qFormat/>
    <w:rsid w:val="002D3461"/>
    <w:pPr>
      <w:keepNext/>
      <w:keepLines/>
      <w:numPr>
        <w:ilvl w:val="2"/>
        <w:numId w:val="1"/>
      </w:numPr>
      <w:outlineLvl w:val="2"/>
    </w:pPr>
    <w:rPr>
      <w:rFonts w:asciiTheme="majorHAnsi" w:eastAsiaTheme="majorEastAsia" w:hAnsiTheme="majorHAnsi" w:cstheme="majorBidi"/>
      <w:color w:val="00245D" w:themeColor="text1"/>
      <w:sz w:val="24"/>
      <w:szCs w:val="24"/>
    </w:rPr>
  </w:style>
  <w:style w:type="paragraph" w:styleId="Heading4">
    <w:name w:val="heading 4"/>
    <w:basedOn w:val="Normal"/>
    <w:next w:val="Normal"/>
    <w:link w:val="Heading4Char"/>
    <w:uiPriority w:val="9"/>
    <w:unhideWhenUsed/>
    <w:rsid w:val="002D3461"/>
    <w:pPr>
      <w:keepNext/>
      <w:keepLines/>
      <w:numPr>
        <w:ilvl w:val="3"/>
        <w:numId w:val="1"/>
      </w:numPr>
      <w:spacing w:before="40" w:after="0"/>
      <w:outlineLvl w:val="3"/>
    </w:pPr>
    <w:rPr>
      <w:rFonts w:asciiTheme="majorHAnsi" w:eastAsiaTheme="majorEastAsia" w:hAnsiTheme="majorHAnsi" w:cstheme="majorBidi"/>
      <w:i/>
      <w:iCs/>
      <w:color w:val="745196" w:themeColor="accent1" w:themeShade="BF"/>
    </w:rPr>
  </w:style>
  <w:style w:type="paragraph" w:styleId="Heading5">
    <w:name w:val="heading 5"/>
    <w:basedOn w:val="Normal"/>
    <w:next w:val="Normal"/>
    <w:link w:val="Heading5Char"/>
    <w:uiPriority w:val="9"/>
    <w:semiHidden/>
    <w:unhideWhenUsed/>
    <w:rsid w:val="002D3461"/>
    <w:pPr>
      <w:keepNext/>
      <w:keepLines/>
      <w:numPr>
        <w:ilvl w:val="4"/>
        <w:numId w:val="1"/>
      </w:numPr>
      <w:spacing w:before="40" w:after="0"/>
      <w:outlineLvl w:val="4"/>
    </w:pPr>
    <w:rPr>
      <w:rFonts w:asciiTheme="majorHAnsi" w:eastAsiaTheme="majorEastAsia" w:hAnsiTheme="majorHAnsi" w:cstheme="majorBidi"/>
      <w:color w:val="745196" w:themeColor="accent1" w:themeShade="BF"/>
    </w:rPr>
  </w:style>
  <w:style w:type="paragraph" w:styleId="Heading6">
    <w:name w:val="heading 6"/>
    <w:basedOn w:val="Normal"/>
    <w:next w:val="Normal"/>
    <w:link w:val="Heading6Char"/>
    <w:uiPriority w:val="9"/>
    <w:semiHidden/>
    <w:unhideWhenUsed/>
    <w:qFormat/>
    <w:rsid w:val="002D3461"/>
    <w:pPr>
      <w:keepNext/>
      <w:keepLines/>
      <w:numPr>
        <w:ilvl w:val="5"/>
        <w:numId w:val="1"/>
      </w:numPr>
      <w:spacing w:before="40" w:after="0"/>
      <w:outlineLvl w:val="5"/>
    </w:pPr>
    <w:rPr>
      <w:rFonts w:asciiTheme="majorHAnsi" w:eastAsiaTheme="majorEastAsia" w:hAnsiTheme="majorHAnsi" w:cstheme="majorBidi"/>
      <w:color w:val="4D3664" w:themeColor="accent1" w:themeShade="7F"/>
    </w:rPr>
  </w:style>
  <w:style w:type="paragraph" w:styleId="Heading7">
    <w:name w:val="heading 7"/>
    <w:basedOn w:val="Normal"/>
    <w:next w:val="Normal"/>
    <w:link w:val="Heading7Char"/>
    <w:uiPriority w:val="9"/>
    <w:semiHidden/>
    <w:unhideWhenUsed/>
    <w:qFormat/>
    <w:rsid w:val="002D3461"/>
    <w:pPr>
      <w:keepNext/>
      <w:keepLines/>
      <w:numPr>
        <w:ilvl w:val="6"/>
        <w:numId w:val="1"/>
      </w:numPr>
      <w:spacing w:before="40" w:after="0"/>
      <w:outlineLvl w:val="6"/>
    </w:pPr>
    <w:rPr>
      <w:rFonts w:asciiTheme="majorHAnsi" w:eastAsiaTheme="majorEastAsia" w:hAnsiTheme="majorHAnsi" w:cstheme="majorBidi"/>
      <w:i/>
      <w:iCs/>
      <w:color w:val="4D3664" w:themeColor="accent1" w:themeShade="7F"/>
    </w:rPr>
  </w:style>
  <w:style w:type="paragraph" w:styleId="Heading8">
    <w:name w:val="heading 8"/>
    <w:basedOn w:val="Normal"/>
    <w:next w:val="Normal"/>
    <w:link w:val="Heading8Char"/>
    <w:uiPriority w:val="9"/>
    <w:semiHidden/>
    <w:unhideWhenUsed/>
    <w:qFormat/>
    <w:rsid w:val="002D3461"/>
    <w:pPr>
      <w:keepNext/>
      <w:keepLines/>
      <w:numPr>
        <w:ilvl w:val="7"/>
        <w:numId w:val="1"/>
      </w:numPr>
      <w:spacing w:before="40" w:after="0"/>
      <w:outlineLvl w:val="7"/>
    </w:pPr>
    <w:rPr>
      <w:rFonts w:asciiTheme="majorHAnsi" w:eastAsiaTheme="majorEastAsia" w:hAnsiTheme="majorHAnsi" w:cstheme="majorBidi"/>
      <w:color w:val="003C9C" w:themeColor="text1" w:themeTint="D8"/>
      <w:sz w:val="21"/>
      <w:szCs w:val="21"/>
    </w:rPr>
  </w:style>
  <w:style w:type="paragraph" w:styleId="Heading9">
    <w:name w:val="heading 9"/>
    <w:basedOn w:val="Normal"/>
    <w:next w:val="Normal"/>
    <w:link w:val="Heading9Char"/>
    <w:uiPriority w:val="9"/>
    <w:semiHidden/>
    <w:unhideWhenUsed/>
    <w:qFormat/>
    <w:rsid w:val="002D3461"/>
    <w:pPr>
      <w:keepNext/>
      <w:keepLines/>
      <w:numPr>
        <w:ilvl w:val="8"/>
        <w:numId w:val="1"/>
      </w:numPr>
      <w:spacing w:before="40" w:after="0"/>
      <w:outlineLvl w:val="8"/>
    </w:pPr>
    <w:rPr>
      <w:rFonts w:asciiTheme="majorHAnsi" w:eastAsiaTheme="majorEastAsia" w:hAnsiTheme="majorHAnsi" w:cstheme="majorBidi"/>
      <w:i/>
      <w:iCs/>
      <w:color w:val="003C9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461"/>
    <w:rPr>
      <w:rFonts w:asciiTheme="majorHAnsi" w:eastAsia="Times New Roman" w:hAnsiTheme="majorHAnsi" w:cs="Arial"/>
      <w:bCs/>
      <w:color w:val="00245D" w:themeColor="text1"/>
      <w:kern w:val="32"/>
      <w:sz w:val="32"/>
      <w:szCs w:val="32"/>
      <w:lang w:eastAsia="en-GB"/>
    </w:rPr>
  </w:style>
  <w:style w:type="character" w:customStyle="1" w:styleId="Heading2Char">
    <w:name w:val="Heading 2 Char"/>
    <w:basedOn w:val="DefaultParagraphFont"/>
    <w:link w:val="Heading2"/>
    <w:uiPriority w:val="9"/>
    <w:rsid w:val="002D3461"/>
    <w:rPr>
      <w:rFonts w:asciiTheme="majorHAnsi" w:eastAsiaTheme="majorEastAsia" w:hAnsiTheme="majorHAnsi" w:cstheme="majorBidi"/>
      <w:color w:val="00245D" w:themeColor="text1"/>
      <w:sz w:val="28"/>
      <w:szCs w:val="26"/>
    </w:rPr>
  </w:style>
  <w:style w:type="character" w:customStyle="1" w:styleId="Heading3Char">
    <w:name w:val="Heading 3 Char"/>
    <w:basedOn w:val="DefaultParagraphFont"/>
    <w:link w:val="Heading3"/>
    <w:uiPriority w:val="9"/>
    <w:rsid w:val="002D3461"/>
    <w:rPr>
      <w:rFonts w:asciiTheme="majorHAnsi" w:eastAsiaTheme="majorEastAsia" w:hAnsiTheme="majorHAnsi" w:cstheme="majorBidi"/>
      <w:color w:val="00245D" w:themeColor="text1"/>
      <w:sz w:val="24"/>
      <w:szCs w:val="24"/>
    </w:rPr>
  </w:style>
  <w:style w:type="character" w:customStyle="1" w:styleId="Heading4Char">
    <w:name w:val="Heading 4 Char"/>
    <w:basedOn w:val="DefaultParagraphFont"/>
    <w:link w:val="Heading4"/>
    <w:uiPriority w:val="9"/>
    <w:rsid w:val="002D3461"/>
    <w:rPr>
      <w:rFonts w:asciiTheme="majorHAnsi" w:eastAsiaTheme="majorEastAsia" w:hAnsiTheme="majorHAnsi" w:cstheme="majorBidi"/>
      <w:i/>
      <w:iCs/>
      <w:color w:val="745196" w:themeColor="accent1" w:themeShade="BF"/>
    </w:rPr>
  </w:style>
  <w:style w:type="character" w:customStyle="1" w:styleId="Heading5Char">
    <w:name w:val="Heading 5 Char"/>
    <w:basedOn w:val="DefaultParagraphFont"/>
    <w:link w:val="Heading5"/>
    <w:uiPriority w:val="9"/>
    <w:semiHidden/>
    <w:rsid w:val="002D3461"/>
    <w:rPr>
      <w:rFonts w:asciiTheme="majorHAnsi" w:eastAsiaTheme="majorEastAsia" w:hAnsiTheme="majorHAnsi" w:cstheme="majorBidi"/>
      <w:color w:val="745196" w:themeColor="accent1" w:themeShade="BF"/>
    </w:rPr>
  </w:style>
  <w:style w:type="character" w:customStyle="1" w:styleId="Heading6Char">
    <w:name w:val="Heading 6 Char"/>
    <w:basedOn w:val="DefaultParagraphFont"/>
    <w:link w:val="Heading6"/>
    <w:uiPriority w:val="9"/>
    <w:semiHidden/>
    <w:rsid w:val="002D3461"/>
    <w:rPr>
      <w:rFonts w:asciiTheme="majorHAnsi" w:eastAsiaTheme="majorEastAsia" w:hAnsiTheme="majorHAnsi" w:cstheme="majorBidi"/>
      <w:color w:val="4D3664" w:themeColor="accent1" w:themeShade="7F"/>
    </w:rPr>
  </w:style>
  <w:style w:type="character" w:customStyle="1" w:styleId="Heading7Char">
    <w:name w:val="Heading 7 Char"/>
    <w:basedOn w:val="DefaultParagraphFont"/>
    <w:link w:val="Heading7"/>
    <w:uiPriority w:val="9"/>
    <w:semiHidden/>
    <w:rsid w:val="002D3461"/>
    <w:rPr>
      <w:rFonts w:asciiTheme="majorHAnsi" w:eastAsiaTheme="majorEastAsia" w:hAnsiTheme="majorHAnsi" w:cstheme="majorBidi"/>
      <w:i/>
      <w:iCs/>
      <w:color w:val="4D3664" w:themeColor="accent1" w:themeShade="7F"/>
    </w:rPr>
  </w:style>
  <w:style w:type="character" w:customStyle="1" w:styleId="Heading8Char">
    <w:name w:val="Heading 8 Char"/>
    <w:basedOn w:val="DefaultParagraphFont"/>
    <w:link w:val="Heading8"/>
    <w:uiPriority w:val="9"/>
    <w:semiHidden/>
    <w:rsid w:val="002D3461"/>
    <w:rPr>
      <w:rFonts w:asciiTheme="majorHAnsi" w:eastAsiaTheme="majorEastAsia" w:hAnsiTheme="majorHAnsi" w:cstheme="majorBidi"/>
      <w:color w:val="003C9C" w:themeColor="text1" w:themeTint="D8"/>
      <w:sz w:val="21"/>
      <w:szCs w:val="21"/>
    </w:rPr>
  </w:style>
  <w:style w:type="character" w:customStyle="1" w:styleId="Heading9Char">
    <w:name w:val="Heading 9 Char"/>
    <w:basedOn w:val="DefaultParagraphFont"/>
    <w:link w:val="Heading9"/>
    <w:uiPriority w:val="9"/>
    <w:semiHidden/>
    <w:rsid w:val="002D3461"/>
    <w:rPr>
      <w:rFonts w:asciiTheme="majorHAnsi" w:eastAsiaTheme="majorEastAsia" w:hAnsiTheme="majorHAnsi" w:cstheme="majorBidi"/>
      <w:i/>
      <w:iCs/>
      <w:color w:val="003C9C" w:themeColor="text1" w:themeTint="D8"/>
      <w:sz w:val="21"/>
      <w:szCs w:val="21"/>
    </w:rPr>
  </w:style>
  <w:style w:type="paragraph" w:styleId="TOC1">
    <w:name w:val="toc 1"/>
    <w:basedOn w:val="Normal"/>
    <w:next w:val="Normal"/>
    <w:autoRedefine/>
    <w:uiPriority w:val="39"/>
    <w:unhideWhenUsed/>
    <w:rsid w:val="002D3461"/>
    <w:pPr>
      <w:tabs>
        <w:tab w:val="left" w:pos="284"/>
        <w:tab w:val="right" w:leader="dot" w:pos="9016"/>
      </w:tabs>
      <w:spacing w:before="120" w:after="0"/>
    </w:pPr>
    <w:rPr>
      <w:rFonts w:asciiTheme="majorHAnsi" w:hAnsiTheme="majorHAnsi"/>
      <w:color w:val="00245D"/>
    </w:rPr>
  </w:style>
  <w:style w:type="paragraph" w:styleId="TOC2">
    <w:name w:val="toc 2"/>
    <w:basedOn w:val="Normal"/>
    <w:next w:val="Normal"/>
    <w:autoRedefine/>
    <w:uiPriority w:val="39"/>
    <w:unhideWhenUsed/>
    <w:rsid w:val="002D3461"/>
    <w:pPr>
      <w:tabs>
        <w:tab w:val="left" w:pos="567"/>
        <w:tab w:val="right" w:leader="dot" w:pos="9016"/>
      </w:tabs>
      <w:spacing w:before="0" w:after="0"/>
      <w:ind w:left="142"/>
    </w:pPr>
    <w:rPr>
      <w:color w:val="5F6062"/>
    </w:rPr>
  </w:style>
  <w:style w:type="character" w:styleId="Hyperlink">
    <w:name w:val="Hyperlink"/>
    <w:basedOn w:val="DefaultParagraphFont"/>
    <w:uiPriority w:val="99"/>
    <w:unhideWhenUsed/>
    <w:rsid w:val="002D3461"/>
    <w:rPr>
      <w:color w:val="004CC5" w:themeColor="hyperlink"/>
      <w:u w:val="single"/>
    </w:rPr>
  </w:style>
  <w:style w:type="paragraph" w:styleId="NoSpacing">
    <w:name w:val="No Spacing"/>
    <w:link w:val="NoSpacingChar"/>
    <w:uiPriority w:val="1"/>
    <w:qFormat/>
    <w:rsid w:val="002D3461"/>
    <w:pPr>
      <w:spacing w:after="0" w:line="240" w:lineRule="auto"/>
      <w:jc w:val="both"/>
    </w:pPr>
  </w:style>
  <w:style w:type="paragraph" w:styleId="Title">
    <w:name w:val="Title"/>
    <w:basedOn w:val="Normal"/>
    <w:next w:val="Normal"/>
    <w:link w:val="TitleChar"/>
    <w:uiPriority w:val="10"/>
    <w:qFormat/>
    <w:rsid w:val="002D3461"/>
    <w:pPr>
      <w:spacing w:before="0"/>
      <w:contextualSpacing/>
      <w:jc w:val="left"/>
    </w:pPr>
    <w:rPr>
      <w:rFonts w:asciiTheme="majorHAnsi" w:eastAsiaTheme="majorEastAsia" w:hAnsiTheme="majorHAnsi" w:cstheme="majorBidi"/>
      <w:color w:val="00245D" w:themeColor="text1"/>
      <w:spacing w:val="-10"/>
      <w:kern w:val="28"/>
      <w:sz w:val="72"/>
      <w:szCs w:val="56"/>
    </w:rPr>
  </w:style>
  <w:style w:type="character" w:customStyle="1" w:styleId="TitleChar">
    <w:name w:val="Title Char"/>
    <w:basedOn w:val="DefaultParagraphFont"/>
    <w:link w:val="Title"/>
    <w:uiPriority w:val="10"/>
    <w:rsid w:val="002D3461"/>
    <w:rPr>
      <w:rFonts w:asciiTheme="majorHAnsi" w:eastAsiaTheme="majorEastAsia" w:hAnsiTheme="majorHAnsi" w:cstheme="majorBidi"/>
      <w:color w:val="00245D" w:themeColor="text1"/>
      <w:spacing w:val="-10"/>
      <w:kern w:val="28"/>
      <w:sz w:val="72"/>
      <w:szCs w:val="56"/>
    </w:rPr>
  </w:style>
  <w:style w:type="paragraph" w:styleId="Footer">
    <w:name w:val="footer"/>
    <w:basedOn w:val="Normal"/>
    <w:link w:val="FooterChar"/>
    <w:uiPriority w:val="99"/>
    <w:unhideWhenUsed/>
    <w:rsid w:val="002D3461"/>
    <w:pPr>
      <w:tabs>
        <w:tab w:val="center" w:pos="4513"/>
        <w:tab w:val="right" w:pos="9026"/>
      </w:tabs>
      <w:spacing w:after="0"/>
    </w:pPr>
  </w:style>
  <w:style w:type="character" w:customStyle="1" w:styleId="FooterChar">
    <w:name w:val="Footer Char"/>
    <w:basedOn w:val="DefaultParagraphFont"/>
    <w:link w:val="Footer"/>
    <w:uiPriority w:val="99"/>
    <w:rsid w:val="002D3461"/>
  </w:style>
  <w:style w:type="paragraph" w:styleId="Subtitle">
    <w:name w:val="Subtitle"/>
    <w:basedOn w:val="Normal"/>
    <w:next w:val="Normal"/>
    <w:link w:val="SubtitleChar"/>
    <w:uiPriority w:val="11"/>
    <w:qFormat/>
    <w:rsid w:val="002D3461"/>
    <w:pPr>
      <w:numPr>
        <w:ilvl w:val="1"/>
      </w:numPr>
      <w:spacing w:before="480" w:after="480"/>
      <w:contextualSpacing/>
      <w:jc w:val="left"/>
    </w:pPr>
    <w:rPr>
      <w:rFonts w:asciiTheme="majorHAnsi" w:eastAsiaTheme="minorEastAsia" w:hAnsiTheme="majorHAnsi"/>
      <w:color w:val="00245D" w:themeColor="text1"/>
      <w:sz w:val="40"/>
    </w:rPr>
  </w:style>
  <w:style w:type="character" w:customStyle="1" w:styleId="SubtitleChar">
    <w:name w:val="Subtitle Char"/>
    <w:basedOn w:val="DefaultParagraphFont"/>
    <w:link w:val="Subtitle"/>
    <w:uiPriority w:val="11"/>
    <w:rsid w:val="002D3461"/>
    <w:rPr>
      <w:rFonts w:asciiTheme="majorHAnsi" w:eastAsiaTheme="minorEastAsia" w:hAnsiTheme="majorHAnsi"/>
      <w:color w:val="00245D" w:themeColor="text1"/>
      <w:sz w:val="40"/>
    </w:rPr>
  </w:style>
  <w:style w:type="paragraph" w:customStyle="1" w:styleId="Subtitle2">
    <w:name w:val="Subtitle 2"/>
    <w:basedOn w:val="Normal"/>
    <w:link w:val="Subtitle2Char"/>
    <w:qFormat/>
    <w:rsid w:val="002D3461"/>
    <w:pPr>
      <w:spacing w:before="480" w:after="480"/>
    </w:pPr>
    <w:rPr>
      <w:rFonts w:asciiTheme="majorHAnsi" w:hAnsiTheme="majorHAnsi"/>
      <w:color w:val="5F6062" w:themeColor="accent5"/>
      <w:sz w:val="40"/>
    </w:rPr>
  </w:style>
  <w:style w:type="character" w:customStyle="1" w:styleId="Subtitle2Char">
    <w:name w:val="Subtitle 2 Char"/>
    <w:basedOn w:val="DefaultParagraphFont"/>
    <w:link w:val="Subtitle2"/>
    <w:rsid w:val="002D3461"/>
    <w:rPr>
      <w:rFonts w:asciiTheme="majorHAnsi" w:hAnsiTheme="majorHAnsi"/>
      <w:color w:val="5F6062" w:themeColor="accent5"/>
      <w:sz w:val="40"/>
    </w:rPr>
  </w:style>
  <w:style w:type="paragraph" w:styleId="ListParagraph">
    <w:name w:val="List Paragraph"/>
    <w:basedOn w:val="Normal"/>
    <w:qFormat/>
    <w:rsid w:val="002D3461"/>
    <w:pPr>
      <w:ind w:left="720"/>
      <w:contextualSpacing/>
    </w:pPr>
  </w:style>
  <w:style w:type="table" w:styleId="TableGrid">
    <w:name w:val="Table Grid"/>
    <w:basedOn w:val="TableNormal"/>
    <w:uiPriority w:val="59"/>
    <w:rsid w:val="002D3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D3461"/>
  </w:style>
  <w:style w:type="table" w:customStyle="1" w:styleId="ENWL">
    <w:name w:val="ENWL"/>
    <w:basedOn w:val="TableNormal"/>
    <w:uiPriority w:val="48"/>
    <w:rsid w:val="00AD2F66"/>
    <w:pPr>
      <w:spacing w:before="100" w:beforeAutospacing="1" w:after="100" w:afterAutospacing="1" w:line="240" w:lineRule="auto"/>
    </w:p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Pr>
    <w:tblStylePr w:type="firstRow">
      <w:pPr>
        <w:wordWrap/>
        <w:spacing w:beforeLines="0" w:beforeAutospacing="1" w:afterLines="0" w:afterAutospacing="1" w:line="240" w:lineRule="auto"/>
      </w:pPr>
      <w:rPr>
        <w:rFonts w:asciiTheme="minorHAnsi" w:hAnsiTheme="minorHAnsi"/>
        <w:b/>
        <w:bCs/>
        <w:color w:val="FFFFFF" w:themeColor="background1"/>
        <w:sz w:val="22"/>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00245D" w:themeFill="text1"/>
      </w:tcPr>
    </w:tblStylePr>
    <w:tblStylePr w:type="lastRow">
      <w:pPr>
        <w:wordWrap/>
        <w:spacing w:beforeLines="0" w:beforeAutospacing="1" w:afterLines="0" w:afterAutospacing="1" w:line="240" w:lineRule="auto"/>
      </w:pPr>
      <w:rPr>
        <w:b/>
        <w:bCs/>
      </w:rPr>
      <w:tblPr/>
      <w:tcPr>
        <w:tcBorders>
          <w:top w:val="double" w:sz="4" w:space="0" w:color="00245D" w:themeColor="text1"/>
          <w:bottom w:val="double" w:sz="4" w:space="0" w:color="00245D" w:themeColor="text1"/>
        </w:tcBorders>
      </w:tcPr>
    </w:tblStylePr>
    <w:tblStylePr w:type="firstCol">
      <w:rPr>
        <w:b w:val="0"/>
        <w:bCs/>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F2F2F2" w:themeFill="background1" w:themeFillShade="F2"/>
      </w:tcPr>
    </w:tblStylePr>
    <w:tblStylePr w:type="lastCol">
      <w:rPr>
        <w:b/>
        <w:bCs/>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FFFFF" w:themeFill="background1"/>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45D" w:themeColor="text1"/>
          <w:left w:val="nil"/>
        </w:tcBorders>
      </w:tcPr>
    </w:tblStylePr>
    <w:tblStylePr w:type="swCell">
      <w:tblPr/>
      <w:tcPr>
        <w:tcBorders>
          <w:top w:val="double" w:sz="4" w:space="0" w:color="00245D" w:themeColor="text1"/>
          <w:right w:val="nil"/>
        </w:tcBorders>
      </w:tcPr>
    </w:tblStylePr>
  </w:style>
  <w:style w:type="table" w:customStyle="1" w:styleId="TableGridLight1">
    <w:name w:val="Table Grid Light1"/>
    <w:basedOn w:val="TableNormal"/>
    <w:uiPriority w:val="40"/>
    <w:rsid w:val="00C64F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lank">
    <w:name w:val="Blank"/>
    <w:basedOn w:val="TableNormal"/>
    <w:uiPriority w:val="99"/>
    <w:rsid w:val="007B58D7"/>
    <w:pPr>
      <w:spacing w:before="100" w:beforeAutospacing="1" w:after="100" w:afterAutospacing="1" w:line="240" w:lineRule="auto"/>
    </w:pPr>
    <w:tblPr>
      <w:tblCellMar>
        <w:left w:w="0" w:type="dxa"/>
        <w:right w:w="0" w:type="dxa"/>
      </w:tblCellMar>
    </w:tblPr>
  </w:style>
  <w:style w:type="paragraph" w:styleId="Header">
    <w:name w:val="header"/>
    <w:basedOn w:val="Normal"/>
    <w:link w:val="HeaderChar"/>
    <w:uiPriority w:val="99"/>
    <w:unhideWhenUsed/>
    <w:rsid w:val="005F2AB6"/>
    <w:pPr>
      <w:tabs>
        <w:tab w:val="center" w:pos="4513"/>
        <w:tab w:val="right" w:pos="9026"/>
      </w:tabs>
      <w:spacing w:before="0" w:after="0"/>
    </w:pPr>
  </w:style>
  <w:style w:type="character" w:customStyle="1" w:styleId="HeaderChar">
    <w:name w:val="Header Char"/>
    <w:basedOn w:val="DefaultParagraphFont"/>
    <w:link w:val="Header"/>
    <w:uiPriority w:val="99"/>
    <w:rsid w:val="005F2AB6"/>
  </w:style>
  <w:style w:type="paragraph" w:styleId="BalloonText">
    <w:name w:val="Balloon Text"/>
    <w:basedOn w:val="Normal"/>
    <w:link w:val="BalloonTextChar"/>
    <w:uiPriority w:val="99"/>
    <w:semiHidden/>
    <w:unhideWhenUsed/>
    <w:rsid w:val="005F2AB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AB6"/>
    <w:rPr>
      <w:rFonts w:ascii="Tahoma" w:hAnsi="Tahoma" w:cs="Tahoma"/>
      <w:sz w:val="16"/>
      <w:szCs w:val="16"/>
    </w:rPr>
  </w:style>
  <w:style w:type="character" w:styleId="Strong">
    <w:name w:val="Strong"/>
    <w:basedOn w:val="DefaultParagraphFont"/>
    <w:uiPriority w:val="22"/>
    <w:qFormat/>
    <w:rsid w:val="00DF7807"/>
    <w:rPr>
      <w:b/>
      <w:bCs/>
    </w:rPr>
  </w:style>
  <w:style w:type="character" w:styleId="CommentReference">
    <w:name w:val="annotation reference"/>
    <w:basedOn w:val="DefaultParagraphFont"/>
    <w:uiPriority w:val="99"/>
    <w:semiHidden/>
    <w:unhideWhenUsed/>
    <w:rsid w:val="00FA3356"/>
    <w:rPr>
      <w:sz w:val="16"/>
      <w:szCs w:val="16"/>
    </w:rPr>
  </w:style>
  <w:style w:type="paragraph" w:styleId="CommentText">
    <w:name w:val="annotation text"/>
    <w:basedOn w:val="Normal"/>
    <w:link w:val="CommentTextChar"/>
    <w:uiPriority w:val="99"/>
    <w:semiHidden/>
    <w:unhideWhenUsed/>
    <w:rsid w:val="00FA3356"/>
    <w:rPr>
      <w:sz w:val="20"/>
      <w:szCs w:val="20"/>
    </w:rPr>
  </w:style>
  <w:style w:type="character" w:customStyle="1" w:styleId="CommentTextChar">
    <w:name w:val="Comment Text Char"/>
    <w:basedOn w:val="DefaultParagraphFont"/>
    <w:link w:val="CommentText"/>
    <w:uiPriority w:val="99"/>
    <w:semiHidden/>
    <w:rsid w:val="00FA3356"/>
    <w:rPr>
      <w:sz w:val="20"/>
      <w:szCs w:val="20"/>
    </w:rPr>
  </w:style>
  <w:style w:type="paragraph" w:styleId="CommentSubject">
    <w:name w:val="annotation subject"/>
    <w:basedOn w:val="CommentText"/>
    <w:next w:val="CommentText"/>
    <w:link w:val="CommentSubjectChar"/>
    <w:uiPriority w:val="99"/>
    <w:semiHidden/>
    <w:unhideWhenUsed/>
    <w:rsid w:val="00FA3356"/>
    <w:rPr>
      <w:b/>
      <w:bCs/>
    </w:rPr>
  </w:style>
  <w:style w:type="character" w:customStyle="1" w:styleId="CommentSubjectChar">
    <w:name w:val="Comment Subject Char"/>
    <w:basedOn w:val="CommentTextChar"/>
    <w:link w:val="CommentSubject"/>
    <w:uiPriority w:val="99"/>
    <w:semiHidden/>
    <w:rsid w:val="00FA3356"/>
    <w:rPr>
      <w:b/>
      <w:bCs/>
      <w:sz w:val="20"/>
      <w:szCs w:val="20"/>
    </w:rPr>
  </w:style>
  <w:style w:type="character" w:styleId="FollowedHyperlink">
    <w:name w:val="FollowedHyperlink"/>
    <w:basedOn w:val="DefaultParagraphFont"/>
    <w:uiPriority w:val="99"/>
    <w:semiHidden/>
    <w:unhideWhenUsed/>
    <w:rsid w:val="00A85294"/>
    <w:rPr>
      <w:color w:val="9C7DB9" w:themeColor="followedHyperlink"/>
      <w:u w:val="single"/>
    </w:rPr>
  </w:style>
  <w:style w:type="paragraph" w:customStyle="1" w:styleId="Default">
    <w:name w:val="Default"/>
    <w:rsid w:val="006D24D1"/>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3A1F1E"/>
    <w:rPr>
      <w:color w:val="808080"/>
      <w:shd w:val="clear" w:color="auto" w:fill="E6E6E6"/>
    </w:rPr>
  </w:style>
  <w:style w:type="paragraph" w:styleId="FootnoteText">
    <w:name w:val="footnote text"/>
    <w:basedOn w:val="Normal"/>
    <w:link w:val="FootnoteTextChar"/>
    <w:uiPriority w:val="99"/>
    <w:semiHidden/>
    <w:unhideWhenUsed/>
    <w:rsid w:val="00304487"/>
    <w:pPr>
      <w:spacing w:before="0" w:after="0"/>
    </w:pPr>
    <w:rPr>
      <w:sz w:val="20"/>
      <w:szCs w:val="20"/>
    </w:rPr>
  </w:style>
  <w:style w:type="character" w:customStyle="1" w:styleId="FootnoteTextChar">
    <w:name w:val="Footnote Text Char"/>
    <w:basedOn w:val="DefaultParagraphFont"/>
    <w:link w:val="FootnoteText"/>
    <w:uiPriority w:val="99"/>
    <w:semiHidden/>
    <w:rsid w:val="00304487"/>
    <w:rPr>
      <w:sz w:val="20"/>
      <w:szCs w:val="20"/>
    </w:rPr>
  </w:style>
  <w:style w:type="character" w:styleId="FootnoteReference">
    <w:name w:val="footnote reference"/>
    <w:basedOn w:val="DefaultParagraphFont"/>
    <w:uiPriority w:val="99"/>
    <w:semiHidden/>
    <w:unhideWhenUsed/>
    <w:rsid w:val="00304487"/>
    <w:rPr>
      <w:vertAlign w:val="superscript"/>
    </w:rPr>
  </w:style>
  <w:style w:type="paragraph" w:styleId="Revision">
    <w:name w:val="Revision"/>
    <w:hidden/>
    <w:uiPriority w:val="99"/>
    <w:semiHidden/>
    <w:rsid w:val="00A10322"/>
    <w:pPr>
      <w:spacing w:after="0" w:line="240" w:lineRule="auto"/>
    </w:pPr>
  </w:style>
  <w:style w:type="paragraph" w:customStyle="1" w:styleId="xmsonormal">
    <w:name w:val="x_msonormal"/>
    <w:basedOn w:val="Normal"/>
    <w:rsid w:val="00664C29"/>
    <w:pPr>
      <w:spacing w:before="0" w:after="0"/>
      <w:jc w:val="left"/>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3917">
      <w:bodyDiv w:val="1"/>
      <w:marLeft w:val="0"/>
      <w:marRight w:val="0"/>
      <w:marTop w:val="0"/>
      <w:marBottom w:val="0"/>
      <w:divBdr>
        <w:top w:val="none" w:sz="0" w:space="0" w:color="auto"/>
        <w:left w:val="none" w:sz="0" w:space="0" w:color="auto"/>
        <w:bottom w:val="none" w:sz="0" w:space="0" w:color="auto"/>
        <w:right w:val="none" w:sz="0" w:space="0" w:color="auto"/>
      </w:divBdr>
    </w:div>
    <w:div w:id="77093939">
      <w:bodyDiv w:val="1"/>
      <w:marLeft w:val="0"/>
      <w:marRight w:val="0"/>
      <w:marTop w:val="0"/>
      <w:marBottom w:val="0"/>
      <w:divBdr>
        <w:top w:val="none" w:sz="0" w:space="0" w:color="auto"/>
        <w:left w:val="none" w:sz="0" w:space="0" w:color="auto"/>
        <w:bottom w:val="none" w:sz="0" w:space="0" w:color="auto"/>
        <w:right w:val="none" w:sz="0" w:space="0" w:color="auto"/>
      </w:divBdr>
    </w:div>
    <w:div w:id="155533085">
      <w:bodyDiv w:val="1"/>
      <w:marLeft w:val="0"/>
      <w:marRight w:val="0"/>
      <w:marTop w:val="0"/>
      <w:marBottom w:val="0"/>
      <w:divBdr>
        <w:top w:val="none" w:sz="0" w:space="0" w:color="auto"/>
        <w:left w:val="none" w:sz="0" w:space="0" w:color="auto"/>
        <w:bottom w:val="none" w:sz="0" w:space="0" w:color="auto"/>
        <w:right w:val="none" w:sz="0" w:space="0" w:color="auto"/>
      </w:divBdr>
    </w:div>
    <w:div w:id="555357772">
      <w:bodyDiv w:val="1"/>
      <w:marLeft w:val="0"/>
      <w:marRight w:val="0"/>
      <w:marTop w:val="0"/>
      <w:marBottom w:val="0"/>
      <w:divBdr>
        <w:top w:val="none" w:sz="0" w:space="0" w:color="auto"/>
        <w:left w:val="none" w:sz="0" w:space="0" w:color="auto"/>
        <w:bottom w:val="none" w:sz="0" w:space="0" w:color="auto"/>
        <w:right w:val="none" w:sz="0" w:space="0" w:color="auto"/>
      </w:divBdr>
    </w:div>
    <w:div w:id="654720431">
      <w:bodyDiv w:val="1"/>
      <w:marLeft w:val="0"/>
      <w:marRight w:val="0"/>
      <w:marTop w:val="0"/>
      <w:marBottom w:val="0"/>
      <w:divBdr>
        <w:top w:val="none" w:sz="0" w:space="0" w:color="auto"/>
        <w:left w:val="none" w:sz="0" w:space="0" w:color="auto"/>
        <w:bottom w:val="none" w:sz="0" w:space="0" w:color="auto"/>
        <w:right w:val="none" w:sz="0" w:space="0" w:color="auto"/>
      </w:divBdr>
    </w:div>
    <w:div w:id="747924925">
      <w:bodyDiv w:val="1"/>
      <w:marLeft w:val="0"/>
      <w:marRight w:val="0"/>
      <w:marTop w:val="0"/>
      <w:marBottom w:val="0"/>
      <w:divBdr>
        <w:top w:val="none" w:sz="0" w:space="0" w:color="auto"/>
        <w:left w:val="none" w:sz="0" w:space="0" w:color="auto"/>
        <w:bottom w:val="none" w:sz="0" w:space="0" w:color="auto"/>
        <w:right w:val="none" w:sz="0" w:space="0" w:color="auto"/>
      </w:divBdr>
    </w:div>
    <w:div w:id="762453088">
      <w:bodyDiv w:val="1"/>
      <w:marLeft w:val="0"/>
      <w:marRight w:val="0"/>
      <w:marTop w:val="0"/>
      <w:marBottom w:val="0"/>
      <w:divBdr>
        <w:top w:val="none" w:sz="0" w:space="0" w:color="auto"/>
        <w:left w:val="none" w:sz="0" w:space="0" w:color="auto"/>
        <w:bottom w:val="none" w:sz="0" w:space="0" w:color="auto"/>
        <w:right w:val="none" w:sz="0" w:space="0" w:color="auto"/>
      </w:divBdr>
    </w:div>
    <w:div w:id="777988178">
      <w:bodyDiv w:val="1"/>
      <w:marLeft w:val="0"/>
      <w:marRight w:val="0"/>
      <w:marTop w:val="0"/>
      <w:marBottom w:val="0"/>
      <w:divBdr>
        <w:top w:val="none" w:sz="0" w:space="0" w:color="auto"/>
        <w:left w:val="none" w:sz="0" w:space="0" w:color="auto"/>
        <w:bottom w:val="none" w:sz="0" w:space="0" w:color="auto"/>
        <w:right w:val="none" w:sz="0" w:space="0" w:color="auto"/>
      </w:divBdr>
    </w:div>
    <w:div w:id="808399417">
      <w:bodyDiv w:val="1"/>
      <w:marLeft w:val="0"/>
      <w:marRight w:val="0"/>
      <w:marTop w:val="0"/>
      <w:marBottom w:val="0"/>
      <w:divBdr>
        <w:top w:val="none" w:sz="0" w:space="0" w:color="auto"/>
        <w:left w:val="none" w:sz="0" w:space="0" w:color="auto"/>
        <w:bottom w:val="none" w:sz="0" w:space="0" w:color="auto"/>
        <w:right w:val="none" w:sz="0" w:space="0" w:color="auto"/>
      </w:divBdr>
      <w:divsChild>
        <w:div w:id="432287477">
          <w:marLeft w:val="0"/>
          <w:marRight w:val="0"/>
          <w:marTop w:val="100"/>
          <w:marBottom w:val="100"/>
          <w:divBdr>
            <w:top w:val="none" w:sz="0" w:space="0" w:color="auto"/>
            <w:left w:val="none" w:sz="0" w:space="0" w:color="auto"/>
            <w:bottom w:val="none" w:sz="0" w:space="0" w:color="auto"/>
            <w:right w:val="none" w:sz="0" w:space="0" w:color="auto"/>
          </w:divBdr>
          <w:divsChild>
            <w:div w:id="876166052">
              <w:marLeft w:val="0"/>
              <w:marRight w:val="0"/>
              <w:marTop w:val="0"/>
              <w:marBottom w:val="0"/>
              <w:divBdr>
                <w:top w:val="none" w:sz="0" w:space="0" w:color="auto"/>
                <w:left w:val="none" w:sz="0" w:space="0" w:color="auto"/>
                <w:bottom w:val="none" w:sz="0" w:space="0" w:color="auto"/>
                <w:right w:val="none" w:sz="0" w:space="0" w:color="auto"/>
              </w:divBdr>
              <w:divsChild>
                <w:div w:id="1439325062">
                  <w:marLeft w:val="0"/>
                  <w:marRight w:val="225"/>
                  <w:marTop w:val="0"/>
                  <w:marBottom w:val="0"/>
                  <w:divBdr>
                    <w:top w:val="none" w:sz="0" w:space="0" w:color="auto"/>
                    <w:left w:val="none" w:sz="0" w:space="0" w:color="auto"/>
                    <w:bottom w:val="none" w:sz="0" w:space="0" w:color="auto"/>
                    <w:right w:val="none" w:sz="0" w:space="0" w:color="auto"/>
                  </w:divBdr>
                  <w:divsChild>
                    <w:div w:id="1022392224">
                      <w:marLeft w:val="0"/>
                      <w:marRight w:val="0"/>
                      <w:marTop w:val="0"/>
                      <w:marBottom w:val="225"/>
                      <w:divBdr>
                        <w:top w:val="none" w:sz="0" w:space="0" w:color="auto"/>
                        <w:left w:val="none" w:sz="0" w:space="0" w:color="auto"/>
                        <w:bottom w:val="none" w:sz="0" w:space="0" w:color="auto"/>
                        <w:right w:val="none" w:sz="0" w:space="0" w:color="auto"/>
                      </w:divBdr>
                      <w:divsChild>
                        <w:div w:id="804932094">
                          <w:marLeft w:val="0"/>
                          <w:marRight w:val="0"/>
                          <w:marTop w:val="0"/>
                          <w:marBottom w:val="0"/>
                          <w:divBdr>
                            <w:top w:val="none" w:sz="0" w:space="0" w:color="auto"/>
                            <w:left w:val="none" w:sz="0" w:space="0" w:color="auto"/>
                            <w:bottom w:val="none" w:sz="0" w:space="0" w:color="auto"/>
                            <w:right w:val="none" w:sz="0" w:space="0" w:color="auto"/>
                          </w:divBdr>
                        </w:div>
                      </w:divsChild>
                    </w:div>
                    <w:div w:id="228274337">
                      <w:marLeft w:val="0"/>
                      <w:marRight w:val="0"/>
                      <w:marTop w:val="0"/>
                      <w:marBottom w:val="225"/>
                      <w:divBdr>
                        <w:top w:val="none" w:sz="0" w:space="0" w:color="auto"/>
                        <w:left w:val="none" w:sz="0" w:space="0" w:color="auto"/>
                        <w:bottom w:val="none" w:sz="0" w:space="0" w:color="auto"/>
                        <w:right w:val="none" w:sz="0" w:space="0" w:color="auto"/>
                      </w:divBdr>
                      <w:divsChild>
                        <w:div w:id="1784154563">
                          <w:marLeft w:val="0"/>
                          <w:marRight w:val="0"/>
                          <w:marTop w:val="0"/>
                          <w:marBottom w:val="0"/>
                          <w:divBdr>
                            <w:top w:val="none" w:sz="0" w:space="0" w:color="auto"/>
                            <w:left w:val="none" w:sz="0" w:space="0" w:color="auto"/>
                            <w:bottom w:val="none" w:sz="0" w:space="0" w:color="auto"/>
                            <w:right w:val="none" w:sz="0" w:space="0" w:color="auto"/>
                          </w:divBdr>
                          <w:divsChild>
                            <w:div w:id="1769961987">
                              <w:marLeft w:val="0"/>
                              <w:marRight w:val="0"/>
                              <w:marTop w:val="0"/>
                              <w:marBottom w:val="225"/>
                              <w:divBdr>
                                <w:top w:val="none" w:sz="0" w:space="0" w:color="auto"/>
                                <w:left w:val="none" w:sz="0" w:space="0" w:color="auto"/>
                                <w:bottom w:val="none" w:sz="0" w:space="0" w:color="auto"/>
                                <w:right w:val="none" w:sz="0" w:space="0" w:color="auto"/>
                              </w:divBdr>
                              <w:divsChild>
                                <w:div w:id="1745447552">
                                  <w:marLeft w:val="0"/>
                                  <w:marRight w:val="0"/>
                                  <w:marTop w:val="0"/>
                                  <w:marBottom w:val="0"/>
                                  <w:divBdr>
                                    <w:top w:val="none" w:sz="0" w:space="0" w:color="auto"/>
                                    <w:left w:val="none" w:sz="0" w:space="0" w:color="auto"/>
                                    <w:bottom w:val="none" w:sz="0" w:space="0" w:color="auto"/>
                                    <w:right w:val="none" w:sz="0" w:space="0" w:color="auto"/>
                                  </w:divBdr>
                                  <w:divsChild>
                                    <w:div w:id="17356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973600">
                      <w:marLeft w:val="0"/>
                      <w:marRight w:val="0"/>
                      <w:marTop w:val="0"/>
                      <w:marBottom w:val="225"/>
                      <w:divBdr>
                        <w:top w:val="none" w:sz="0" w:space="0" w:color="auto"/>
                        <w:left w:val="none" w:sz="0" w:space="0" w:color="auto"/>
                        <w:bottom w:val="none" w:sz="0" w:space="0" w:color="auto"/>
                        <w:right w:val="none" w:sz="0" w:space="0" w:color="auto"/>
                      </w:divBdr>
                      <w:divsChild>
                        <w:div w:id="577715296">
                          <w:marLeft w:val="0"/>
                          <w:marRight w:val="0"/>
                          <w:marTop w:val="0"/>
                          <w:marBottom w:val="0"/>
                          <w:divBdr>
                            <w:top w:val="none" w:sz="0" w:space="0" w:color="auto"/>
                            <w:left w:val="none" w:sz="0" w:space="0" w:color="auto"/>
                            <w:bottom w:val="none" w:sz="0" w:space="0" w:color="auto"/>
                            <w:right w:val="none" w:sz="0" w:space="0" w:color="auto"/>
                          </w:divBdr>
                          <w:divsChild>
                            <w:div w:id="1462571397">
                              <w:marLeft w:val="0"/>
                              <w:marRight w:val="0"/>
                              <w:marTop w:val="0"/>
                              <w:marBottom w:val="225"/>
                              <w:divBdr>
                                <w:top w:val="none" w:sz="0" w:space="0" w:color="auto"/>
                                <w:left w:val="none" w:sz="0" w:space="0" w:color="auto"/>
                                <w:bottom w:val="none" w:sz="0" w:space="0" w:color="auto"/>
                                <w:right w:val="none" w:sz="0" w:space="0" w:color="auto"/>
                              </w:divBdr>
                              <w:divsChild>
                                <w:div w:id="748694647">
                                  <w:marLeft w:val="0"/>
                                  <w:marRight w:val="0"/>
                                  <w:marTop w:val="0"/>
                                  <w:marBottom w:val="0"/>
                                  <w:divBdr>
                                    <w:top w:val="none" w:sz="0" w:space="0" w:color="auto"/>
                                    <w:left w:val="none" w:sz="0" w:space="0" w:color="auto"/>
                                    <w:bottom w:val="none" w:sz="0" w:space="0" w:color="auto"/>
                                    <w:right w:val="none" w:sz="0" w:space="0" w:color="auto"/>
                                  </w:divBdr>
                                  <w:divsChild>
                                    <w:div w:id="7925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5485">
                      <w:marLeft w:val="0"/>
                      <w:marRight w:val="0"/>
                      <w:marTop w:val="0"/>
                      <w:marBottom w:val="225"/>
                      <w:divBdr>
                        <w:top w:val="none" w:sz="0" w:space="0" w:color="auto"/>
                        <w:left w:val="none" w:sz="0" w:space="0" w:color="auto"/>
                        <w:bottom w:val="none" w:sz="0" w:space="0" w:color="auto"/>
                        <w:right w:val="none" w:sz="0" w:space="0" w:color="auto"/>
                      </w:divBdr>
                      <w:divsChild>
                        <w:div w:id="443964821">
                          <w:marLeft w:val="0"/>
                          <w:marRight w:val="0"/>
                          <w:marTop w:val="0"/>
                          <w:marBottom w:val="0"/>
                          <w:divBdr>
                            <w:top w:val="none" w:sz="0" w:space="0" w:color="auto"/>
                            <w:left w:val="none" w:sz="0" w:space="0" w:color="auto"/>
                            <w:bottom w:val="none" w:sz="0" w:space="0" w:color="auto"/>
                            <w:right w:val="none" w:sz="0" w:space="0" w:color="auto"/>
                          </w:divBdr>
                          <w:divsChild>
                            <w:div w:id="1504390084">
                              <w:marLeft w:val="0"/>
                              <w:marRight w:val="0"/>
                              <w:marTop w:val="0"/>
                              <w:marBottom w:val="0"/>
                              <w:divBdr>
                                <w:top w:val="none" w:sz="0" w:space="0" w:color="auto"/>
                                <w:left w:val="none" w:sz="0" w:space="0" w:color="auto"/>
                                <w:bottom w:val="none" w:sz="0" w:space="0" w:color="auto"/>
                                <w:right w:val="none" w:sz="0" w:space="0" w:color="auto"/>
                              </w:divBdr>
                              <w:divsChild>
                                <w:div w:id="14221442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21352219">
                      <w:marLeft w:val="0"/>
                      <w:marRight w:val="0"/>
                      <w:marTop w:val="0"/>
                      <w:marBottom w:val="225"/>
                      <w:divBdr>
                        <w:top w:val="none" w:sz="0" w:space="0" w:color="auto"/>
                        <w:left w:val="none" w:sz="0" w:space="0" w:color="auto"/>
                        <w:bottom w:val="none" w:sz="0" w:space="0" w:color="auto"/>
                        <w:right w:val="none" w:sz="0" w:space="0" w:color="auto"/>
                      </w:divBdr>
                      <w:divsChild>
                        <w:div w:id="84764104">
                          <w:marLeft w:val="0"/>
                          <w:marRight w:val="0"/>
                          <w:marTop w:val="0"/>
                          <w:marBottom w:val="0"/>
                          <w:divBdr>
                            <w:top w:val="none" w:sz="0" w:space="0" w:color="auto"/>
                            <w:left w:val="none" w:sz="0" w:space="0" w:color="auto"/>
                            <w:bottom w:val="none" w:sz="0" w:space="0" w:color="auto"/>
                            <w:right w:val="none" w:sz="0" w:space="0" w:color="auto"/>
                          </w:divBdr>
                          <w:divsChild>
                            <w:div w:id="1556237724">
                              <w:marLeft w:val="0"/>
                              <w:marRight w:val="0"/>
                              <w:marTop w:val="0"/>
                              <w:marBottom w:val="225"/>
                              <w:divBdr>
                                <w:top w:val="none" w:sz="0" w:space="0" w:color="auto"/>
                                <w:left w:val="none" w:sz="0" w:space="0" w:color="auto"/>
                                <w:bottom w:val="none" w:sz="0" w:space="0" w:color="auto"/>
                                <w:right w:val="none" w:sz="0" w:space="0" w:color="auto"/>
                              </w:divBdr>
                              <w:divsChild>
                                <w:div w:id="986281828">
                                  <w:marLeft w:val="0"/>
                                  <w:marRight w:val="0"/>
                                  <w:marTop w:val="0"/>
                                  <w:marBottom w:val="0"/>
                                  <w:divBdr>
                                    <w:top w:val="none" w:sz="0" w:space="0" w:color="auto"/>
                                    <w:left w:val="none" w:sz="0" w:space="0" w:color="auto"/>
                                    <w:bottom w:val="none" w:sz="0" w:space="0" w:color="auto"/>
                                    <w:right w:val="none" w:sz="0" w:space="0" w:color="auto"/>
                                  </w:divBdr>
                                  <w:divsChild>
                                    <w:div w:id="576405155">
                                      <w:marLeft w:val="0"/>
                                      <w:marRight w:val="0"/>
                                      <w:marTop w:val="0"/>
                                      <w:marBottom w:val="0"/>
                                      <w:divBdr>
                                        <w:top w:val="none" w:sz="0" w:space="0" w:color="auto"/>
                                        <w:left w:val="none" w:sz="0" w:space="0" w:color="auto"/>
                                        <w:bottom w:val="none" w:sz="0" w:space="0" w:color="auto"/>
                                        <w:right w:val="none" w:sz="0" w:space="0" w:color="auto"/>
                                      </w:divBdr>
                                    </w:div>
                                    <w:div w:id="995719742">
                                      <w:marLeft w:val="0"/>
                                      <w:marRight w:val="0"/>
                                      <w:marTop w:val="0"/>
                                      <w:marBottom w:val="0"/>
                                      <w:divBdr>
                                        <w:top w:val="none" w:sz="0" w:space="0" w:color="auto"/>
                                        <w:left w:val="none" w:sz="0" w:space="0" w:color="auto"/>
                                        <w:bottom w:val="none" w:sz="0" w:space="0" w:color="auto"/>
                                        <w:right w:val="none" w:sz="0" w:space="0" w:color="auto"/>
                                      </w:divBdr>
                                      <w:divsChild>
                                        <w:div w:id="302925974">
                                          <w:marLeft w:val="0"/>
                                          <w:marRight w:val="0"/>
                                          <w:marTop w:val="0"/>
                                          <w:marBottom w:val="0"/>
                                          <w:divBdr>
                                            <w:top w:val="none" w:sz="0" w:space="0" w:color="auto"/>
                                            <w:left w:val="none" w:sz="0" w:space="0" w:color="auto"/>
                                            <w:bottom w:val="none" w:sz="0" w:space="0" w:color="auto"/>
                                            <w:right w:val="none" w:sz="0" w:space="0" w:color="auto"/>
                                          </w:divBdr>
                                          <w:divsChild>
                                            <w:div w:id="944926735">
                                              <w:marLeft w:val="0"/>
                                              <w:marRight w:val="0"/>
                                              <w:marTop w:val="0"/>
                                              <w:marBottom w:val="0"/>
                                              <w:divBdr>
                                                <w:top w:val="none" w:sz="0" w:space="0" w:color="auto"/>
                                                <w:left w:val="none" w:sz="0" w:space="0" w:color="auto"/>
                                                <w:bottom w:val="none" w:sz="0" w:space="0" w:color="auto"/>
                                                <w:right w:val="none" w:sz="0" w:space="0" w:color="auto"/>
                                              </w:divBdr>
                                              <w:divsChild>
                                                <w:div w:id="1029141630">
                                                  <w:marLeft w:val="0"/>
                                                  <w:marRight w:val="0"/>
                                                  <w:marTop w:val="0"/>
                                                  <w:marBottom w:val="0"/>
                                                  <w:divBdr>
                                                    <w:top w:val="none" w:sz="0" w:space="0" w:color="auto"/>
                                                    <w:left w:val="none" w:sz="0" w:space="0" w:color="auto"/>
                                                    <w:bottom w:val="none" w:sz="0" w:space="0" w:color="auto"/>
                                                    <w:right w:val="none" w:sz="0" w:space="0" w:color="auto"/>
                                                  </w:divBdr>
                                                  <w:divsChild>
                                                    <w:div w:id="6489750">
                                                      <w:marLeft w:val="0"/>
                                                      <w:marRight w:val="0"/>
                                                      <w:marTop w:val="0"/>
                                                      <w:marBottom w:val="0"/>
                                                      <w:divBdr>
                                                        <w:top w:val="none" w:sz="0" w:space="0" w:color="auto"/>
                                                        <w:left w:val="none" w:sz="0" w:space="0" w:color="auto"/>
                                                        <w:bottom w:val="none" w:sz="0" w:space="0" w:color="auto"/>
                                                        <w:right w:val="none" w:sz="0" w:space="0" w:color="auto"/>
                                                      </w:divBdr>
                                                      <w:divsChild>
                                                        <w:div w:id="1718309640">
                                                          <w:marLeft w:val="0"/>
                                                          <w:marRight w:val="0"/>
                                                          <w:marTop w:val="0"/>
                                                          <w:marBottom w:val="0"/>
                                                          <w:divBdr>
                                                            <w:top w:val="none" w:sz="0" w:space="0" w:color="auto"/>
                                                            <w:left w:val="none" w:sz="0" w:space="0" w:color="auto"/>
                                                            <w:bottom w:val="none" w:sz="0" w:space="0" w:color="auto"/>
                                                            <w:right w:val="none" w:sz="0" w:space="0" w:color="auto"/>
                                                          </w:divBdr>
                                                        </w:div>
                                                      </w:divsChild>
                                                    </w:div>
                                                    <w:div w:id="1778597100">
                                                      <w:marLeft w:val="0"/>
                                                      <w:marRight w:val="0"/>
                                                      <w:marTop w:val="450"/>
                                                      <w:marBottom w:val="0"/>
                                                      <w:divBdr>
                                                        <w:top w:val="none" w:sz="0" w:space="0" w:color="auto"/>
                                                        <w:left w:val="none" w:sz="0" w:space="0" w:color="auto"/>
                                                        <w:bottom w:val="none" w:sz="0" w:space="0" w:color="auto"/>
                                                        <w:right w:val="none" w:sz="0" w:space="0" w:color="auto"/>
                                                      </w:divBdr>
                                                      <w:divsChild>
                                                        <w:div w:id="11364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430111">
                      <w:marLeft w:val="0"/>
                      <w:marRight w:val="0"/>
                      <w:marTop w:val="0"/>
                      <w:marBottom w:val="0"/>
                      <w:divBdr>
                        <w:top w:val="none" w:sz="0" w:space="0" w:color="auto"/>
                        <w:left w:val="none" w:sz="0" w:space="0" w:color="auto"/>
                        <w:bottom w:val="none" w:sz="0" w:space="0" w:color="auto"/>
                        <w:right w:val="none" w:sz="0" w:space="0" w:color="auto"/>
                      </w:divBdr>
                      <w:divsChild>
                        <w:div w:id="1551073230">
                          <w:marLeft w:val="0"/>
                          <w:marRight w:val="0"/>
                          <w:marTop w:val="0"/>
                          <w:marBottom w:val="0"/>
                          <w:divBdr>
                            <w:top w:val="none" w:sz="0" w:space="0" w:color="auto"/>
                            <w:left w:val="none" w:sz="0" w:space="0" w:color="auto"/>
                            <w:bottom w:val="none" w:sz="0" w:space="0" w:color="auto"/>
                            <w:right w:val="none" w:sz="0" w:space="0" w:color="auto"/>
                          </w:divBdr>
                          <w:divsChild>
                            <w:div w:id="836187522">
                              <w:marLeft w:val="0"/>
                              <w:marRight w:val="0"/>
                              <w:marTop w:val="0"/>
                              <w:marBottom w:val="225"/>
                              <w:divBdr>
                                <w:top w:val="none" w:sz="0" w:space="0" w:color="auto"/>
                                <w:left w:val="none" w:sz="0" w:space="0" w:color="auto"/>
                                <w:bottom w:val="none" w:sz="0" w:space="0" w:color="auto"/>
                                <w:right w:val="none" w:sz="0" w:space="0" w:color="auto"/>
                              </w:divBdr>
                              <w:divsChild>
                                <w:div w:id="788819890">
                                  <w:marLeft w:val="0"/>
                                  <w:marRight w:val="0"/>
                                  <w:marTop w:val="0"/>
                                  <w:marBottom w:val="0"/>
                                  <w:divBdr>
                                    <w:top w:val="none" w:sz="0" w:space="0" w:color="auto"/>
                                    <w:left w:val="none" w:sz="0" w:space="0" w:color="auto"/>
                                    <w:bottom w:val="none" w:sz="0" w:space="0" w:color="auto"/>
                                    <w:right w:val="none" w:sz="0" w:space="0" w:color="auto"/>
                                  </w:divBdr>
                                  <w:divsChild>
                                    <w:div w:id="73213324">
                                      <w:marLeft w:val="0"/>
                                      <w:marRight w:val="0"/>
                                      <w:marTop w:val="0"/>
                                      <w:marBottom w:val="0"/>
                                      <w:divBdr>
                                        <w:top w:val="none" w:sz="0" w:space="0" w:color="auto"/>
                                        <w:left w:val="none" w:sz="0" w:space="0" w:color="auto"/>
                                        <w:bottom w:val="none" w:sz="0" w:space="0" w:color="auto"/>
                                        <w:right w:val="none" w:sz="0" w:space="0" w:color="auto"/>
                                      </w:divBdr>
                                    </w:div>
                                    <w:div w:id="693000566">
                                      <w:marLeft w:val="0"/>
                                      <w:marRight w:val="0"/>
                                      <w:marTop w:val="0"/>
                                      <w:marBottom w:val="0"/>
                                      <w:divBdr>
                                        <w:top w:val="none" w:sz="0" w:space="0" w:color="auto"/>
                                        <w:left w:val="none" w:sz="0" w:space="0" w:color="auto"/>
                                        <w:bottom w:val="none" w:sz="0" w:space="0" w:color="auto"/>
                                        <w:right w:val="none" w:sz="0" w:space="0" w:color="auto"/>
                                      </w:divBdr>
                                      <w:divsChild>
                                        <w:div w:id="21418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201532">
                  <w:marLeft w:val="0"/>
                  <w:marRight w:val="0"/>
                  <w:marTop w:val="0"/>
                  <w:marBottom w:val="0"/>
                  <w:divBdr>
                    <w:top w:val="none" w:sz="0" w:space="0" w:color="auto"/>
                    <w:left w:val="none" w:sz="0" w:space="0" w:color="auto"/>
                    <w:bottom w:val="none" w:sz="0" w:space="0" w:color="auto"/>
                    <w:right w:val="none" w:sz="0" w:space="0" w:color="auto"/>
                  </w:divBdr>
                  <w:divsChild>
                    <w:div w:id="671764207">
                      <w:marLeft w:val="0"/>
                      <w:marRight w:val="0"/>
                      <w:marTop w:val="0"/>
                      <w:marBottom w:val="0"/>
                      <w:divBdr>
                        <w:top w:val="none" w:sz="0" w:space="0" w:color="auto"/>
                        <w:left w:val="none" w:sz="0" w:space="0" w:color="auto"/>
                        <w:bottom w:val="none" w:sz="0" w:space="0" w:color="auto"/>
                        <w:right w:val="none" w:sz="0" w:space="0" w:color="auto"/>
                      </w:divBdr>
                      <w:divsChild>
                        <w:div w:id="458106650">
                          <w:marLeft w:val="0"/>
                          <w:marRight w:val="0"/>
                          <w:marTop w:val="0"/>
                          <w:marBottom w:val="225"/>
                          <w:divBdr>
                            <w:top w:val="none" w:sz="0" w:space="0" w:color="auto"/>
                            <w:left w:val="none" w:sz="0" w:space="0" w:color="auto"/>
                            <w:bottom w:val="none" w:sz="0" w:space="0" w:color="auto"/>
                            <w:right w:val="none" w:sz="0" w:space="0" w:color="auto"/>
                          </w:divBdr>
                          <w:divsChild>
                            <w:div w:id="1042484029">
                              <w:marLeft w:val="0"/>
                              <w:marRight w:val="0"/>
                              <w:marTop w:val="0"/>
                              <w:marBottom w:val="0"/>
                              <w:divBdr>
                                <w:top w:val="none" w:sz="0" w:space="0" w:color="auto"/>
                                <w:left w:val="none" w:sz="0" w:space="0" w:color="auto"/>
                                <w:bottom w:val="none" w:sz="0" w:space="0" w:color="auto"/>
                                <w:right w:val="none" w:sz="0" w:space="0" w:color="auto"/>
                              </w:divBdr>
                              <w:divsChild>
                                <w:div w:id="1631980760">
                                  <w:marLeft w:val="0"/>
                                  <w:marRight w:val="0"/>
                                  <w:marTop w:val="0"/>
                                  <w:marBottom w:val="0"/>
                                  <w:divBdr>
                                    <w:top w:val="none" w:sz="0" w:space="0" w:color="auto"/>
                                    <w:left w:val="none" w:sz="0" w:space="0" w:color="auto"/>
                                    <w:bottom w:val="none" w:sz="0" w:space="0" w:color="auto"/>
                                    <w:right w:val="none" w:sz="0" w:space="0" w:color="auto"/>
                                  </w:divBdr>
                                  <w:divsChild>
                                    <w:div w:id="1171990670">
                                      <w:marLeft w:val="0"/>
                                      <w:marRight w:val="0"/>
                                      <w:marTop w:val="0"/>
                                      <w:marBottom w:val="75"/>
                                      <w:divBdr>
                                        <w:top w:val="none" w:sz="0" w:space="0" w:color="auto"/>
                                        <w:left w:val="none" w:sz="0" w:space="0" w:color="auto"/>
                                        <w:bottom w:val="none" w:sz="0" w:space="0" w:color="auto"/>
                                        <w:right w:val="none" w:sz="0" w:space="0" w:color="auto"/>
                                      </w:divBdr>
                                    </w:div>
                                    <w:div w:id="633482227">
                                      <w:marLeft w:val="0"/>
                                      <w:marRight w:val="0"/>
                                      <w:marTop w:val="0"/>
                                      <w:marBottom w:val="75"/>
                                      <w:divBdr>
                                        <w:top w:val="none" w:sz="0" w:space="0" w:color="auto"/>
                                        <w:left w:val="none" w:sz="0" w:space="0" w:color="auto"/>
                                        <w:bottom w:val="none" w:sz="0" w:space="0" w:color="auto"/>
                                        <w:right w:val="none" w:sz="0" w:space="0" w:color="auto"/>
                                      </w:divBdr>
                                    </w:div>
                                    <w:div w:id="702944644">
                                      <w:marLeft w:val="0"/>
                                      <w:marRight w:val="0"/>
                                      <w:marTop w:val="0"/>
                                      <w:marBottom w:val="75"/>
                                      <w:divBdr>
                                        <w:top w:val="none" w:sz="0" w:space="0" w:color="auto"/>
                                        <w:left w:val="none" w:sz="0" w:space="0" w:color="auto"/>
                                        <w:bottom w:val="none" w:sz="0" w:space="0" w:color="auto"/>
                                        <w:right w:val="none" w:sz="0" w:space="0" w:color="auto"/>
                                      </w:divBdr>
                                    </w:div>
                                    <w:div w:id="656541781">
                                      <w:marLeft w:val="0"/>
                                      <w:marRight w:val="0"/>
                                      <w:marTop w:val="0"/>
                                      <w:marBottom w:val="75"/>
                                      <w:divBdr>
                                        <w:top w:val="none" w:sz="0" w:space="0" w:color="auto"/>
                                        <w:left w:val="none" w:sz="0" w:space="0" w:color="auto"/>
                                        <w:bottom w:val="none" w:sz="0" w:space="0" w:color="auto"/>
                                        <w:right w:val="none" w:sz="0" w:space="0" w:color="auto"/>
                                      </w:divBdr>
                                    </w:div>
                                    <w:div w:id="815606218">
                                      <w:marLeft w:val="0"/>
                                      <w:marRight w:val="0"/>
                                      <w:marTop w:val="0"/>
                                      <w:marBottom w:val="375"/>
                                      <w:divBdr>
                                        <w:top w:val="none" w:sz="0" w:space="0" w:color="auto"/>
                                        <w:left w:val="none" w:sz="0" w:space="0" w:color="auto"/>
                                        <w:bottom w:val="none" w:sz="0" w:space="0" w:color="auto"/>
                                        <w:right w:val="none" w:sz="0" w:space="0" w:color="auto"/>
                                      </w:divBdr>
                                    </w:div>
                                    <w:div w:id="92138064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436953">
                      <w:marLeft w:val="0"/>
                      <w:marRight w:val="0"/>
                      <w:marTop w:val="0"/>
                      <w:marBottom w:val="0"/>
                      <w:divBdr>
                        <w:top w:val="none" w:sz="0" w:space="0" w:color="auto"/>
                        <w:left w:val="none" w:sz="0" w:space="0" w:color="auto"/>
                        <w:bottom w:val="none" w:sz="0" w:space="0" w:color="auto"/>
                        <w:right w:val="none" w:sz="0" w:space="0" w:color="auto"/>
                      </w:divBdr>
                      <w:divsChild>
                        <w:div w:id="890264682">
                          <w:marLeft w:val="0"/>
                          <w:marRight w:val="0"/>
                          <w:marTop w:val="0"/>
                          <w:marBottom w:val="225"/>
                          <w:divBdr>
                            <w:top w:val="none" w:sz="0" w:space="0" w:color="auto"/>
                            <w:left w:val="none" w:sz="0" w:space="0" w:color="auto"/>
                            <w:bottom w:val="none" w:sz="0" w:space="0" w:color="auto"/>
                            <w:right w:val="none" w:sz="0" w:space="0" w:color="auto"/>
                          </w:divBdr>
                          <w:divsChild>
                            <w:div w:id="1267887856">
                              <w:marLeft w:val="0"/>
                              <w:marRight w:val="0"/>
                              <w:marTop w:val="0"/>
                              <w:marBottom w:val="375"/>
                              <w:divBdr>
                                <w:top w:val="none" w:sz="0" w:space="0" w:color="auto"/>
                                <w:left w:val="none" w:sz="0" w:space="0" w:color="auto"/>
                                <w:bottom w:val="none" w:sz="0" w:space="0" w:color="auto"/>
                                <w:right w:val="none" w:sz="0" w:space="0" w:color="auto"/>
                              </w:divBdr>
                            </w:div>
                            <w:div w:id="1523517669">
                              <w:marLeft w:val="0"/>
                              <w:marRight w:val="0"/>
                              <w:marTop w:val="0"/>
                              <w:marBottom w:val="0"/>
                              <w:divBdr>
                                <w:top w:val="none" w:sz="0" w:space="0" w:color="auto"/>
                                <w:left w:val="none" w:sz="0" w:space="0" w:color="auto"/>
                                <w:bottom w:val="none" w:sz="0" w:space="0" w:color="auto"/>
                                <w:right w:val="none" w:sz="0" w:space="0" w:color="auto"/>
                              </w:divBdr>
                              <w:divsChild>
                                <w:div w:id="2032413021">
                                  <w:marLeft w:val="0"/>
                                  <w:marRight w:val="0"/>
                                  <w:marTop w:val="0"/>
                                  <w:marBottom w:val="0"/>
                                  <w:divBdr>
                                    <w:top w:val="none" w:sz="0" w:space="0" w:color="auto"/>
                                    <w:left w:val="none" w:sz="0" w:space="0" w:color="auto"/>
                                    <w:bottom w:val="none" w:sz="0" w:space="0" w:color="auto"/>
                                    <w:right w:val="none" w:sz="0" w:space="0" w:color="auto"/>
                                  </w:divBdr>
                                  <w:divsChild>
                                    <w:div w:id="557205966">
                                      <w:marLeft w:val="0"/>
                                      <w:marRight w:val="0"/>
                                      <w:marTop w:val="0"/>
                                      <w:marBottom w:val="0"/>
                                      <w:divBdr>
                                        <w:top w:val="none" w:sz="0" w:space="0" w:color="auto"/>
                                        <w:left w:val="none" w:sz="0" w:space="0" w:color="auto"/>
                                        <w:bottom w:val="none" w:sz="0" w:space="0" w:color="auto"/>
                                        <w:right w:val="none" w:sz="0" w:space="0" w:color="auto"/>
                                      </w:divBdr>
                                      <w:divsChild>
                                        <w:div w:id="289291185">
                                          <w:marLeft w:val="0"/>
                                          <w:marRight w:val="0"/>
                                          <w:marTop w:val="0"/>
                                          <w:marBottom w:val="300"/>
                                          <w:divBdr>
                                            <w:top w:val="none" w:sz="0" w:space="0" w:color="auto"/>
                                            <w:left w:val="none" w:sz="0" w:space="0" w:color="auto"/>
                                            <w:bottom w:val="none" w:sz="0" w:space="0" w:color="auto"/>
                                            <w:right w:val="none" w:sz="0" w:space="0" w:color="auto"/>
                                          </w:divBdr>
                                        </w:div>
                                        <w:div w:id="254630247">
                                          <w:marLeft w:val="0"/>
                                          <w:marRight w:val="0"/>
                                          <w:marTop w:val="0"/>
                                          <w:marBottom w:val="300"/>
                                          <w:divBdr>
                                            <w:top w:val="none" w:sz="0" w:space="0" w:color="auto"/>
                                            <w:left w:val="none" w:sz="0" w:space="0" w:color="auto"/>
                                            <w:bottom w:val="none" w:sz="0" w:space="0" w:color="auto"/>
                                            <w:right w:val="none" w:sz="0" w:space="0" w:color="auto"/>
                                          </w:divBdr>
                                        </w:div>
                                        <w:div w:id="2037542053">
                                          <w:marLeft w:val="0"/>
                                          <w:marRight w:val="0"/>
                                          <w:marTop w:val="0"/>
                                          <w:marBottom w:val="300"/>
                                          <w:divBdr>
                                            <w:top w:val="none" w:sz="0" w:space="0" w:color="auto"/>
                                            <w:left w:val="none" w:sz="0" w:space="0" w:color="auto"/>
                                            <w:bottom w:val="none" w:sz="0" w:space="0" w:color="auto"/>
                                            <w:right w:val="none" w:sz="0" w:space="0" w:color="auto"/>
                                          </w:divBdr>
                                        </w:div>
                                        <w:div w:id="553124897">
                                          <w:marLeft w:val="0"/>
                                          <w:marRight w:val="0"/>
                                          <w:marTop w:val="0"/>
                                          <w:marBottom w:val="300"/>
                                          <w:divBdr>
                                            <w:top w:val="none" w:sz="0" w:space="0" w:color="auto"/>
                                            <w:left w:val="none" w:sz="0" w:space="0" w:color="auto"/>
                                            <w:bottom w:val="none" w:sz="0" w:space="0" w:color="auto"/>
                                            <w:right w:val="none" w:sz="0" w:space="0" w:color="auto"/>
                                          </w:divBdr>
                                        </w:div>
                                        <w:div w:id="1777672085">
                                          <w:marLeft w:val="0"/>
                                          <w:marRight w:val="0"/>
                                          <w:marTop w:val="0"/>
                                          <w:marBottom w:val="300"/>
                                          <w:divBdr>
                                            <w:top w:val="none" w:sz="0" w:space="0" w:color="auto"/>
                                            <w:left w:val="none" w:sz="0" w:space="0" w:color="auto"/>
                                            <w:bottom w:val="none" w:sz="0" w:space="0" w:color="auto"/>
                                            <w:right w:val="none" w:sz="0" w:space="0" w:color="auto"/>
                                          </w:divBdr>
                                        </w:div>
                                        <w:div w:id="404836821">
                                          <w:marLeft w:val="0"/>
                                          <w:marRight w:val="0"/>
                                          <w:marTop w:val="0"/>
                                          <w:marBottom w:val="300"/>
                                          <w:divBdr>
                                            <w:top w:val="none" w:sz="0" w:space="0" w:color="auto"/>
                                            <w:left w:val="none" w:sz="0" w:space="0" w:color="auto"/>
                                            <w:bottom w:val="none" w:sz="0" w:space="0" w:color="auto"/>
                                            <w:right w:val="none" w:sz="0" w:space="0" w:color="auto"/>
                                          </w:divBdr>
                                        </w:div>
                                        <w:div w:id="1984847136">
                                          <w:marLeft w:val="0"/>
                                          <w:marRight w:val="0"/>
                                          <w:marTop w:val="0"/>
                                          <w:marBottom w:val="300"/>
                                          <w:divBdr>
                                            <w:top w:val="none" w:sz="0" w:space="0" w:color="auto"/>
                                            <w:left w:val="none" w:sz="0" w:space="0" w:color="auto"/>
                                            <w:bottom w:val="none" w:sz="0" w:space="0" w:color="auto"/>
                                            <w:right w:val="none" w:sz="0" w:space="0" w:color="auto"/>
                                          </w:divBdr>
                                        </w:div>
                                        <w:div w:id="8497583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70524942">
                      <w:marLeft w:val="0"/>
                      <w:marRight w:val="0"/>
                      <w:marTop w:val="0"/>
                      <w:marBottom w:val="0"/>
                      <w:divBdr>
                        <w:top w:val="none" w:sz="0" w:space="0" w:color="auto"/>
                        <w:left w:val="none" w:sz="0" w:space="0" w:color="auto"/>
                        <w:bottom w:val="none" w:sz="0" w:space="0" w:color="auto"/>
                        <w:right w:val="none" w:sz="0" w:space="0" w:color="auto"/>
                      </w:divBdr>
                      <w:divsChild>
                        <w:div w:id="91626939">
                          <w:marLeft w:val="0"/>
                          <w:marRight w:val="0"/>
                          <w:marTop w:val="0"/>
                          <w:marBottom w:val="0"/>
                          <w:divBdr>
                            <w:top w:val="none" w:sz="0" w:space="0" w:color="auto"/>
                            <w:left w:val="none" w:sz="0" w:space="0" w:color="auto"/>
                            <w:bottom w:val="none" w:sz="0" w:space="0" w:color="auto"/>
                            <w:right w:val="none" w:sz="0" w:space="0" w:color="auto"/>
                          </w:divBdr>
                          <w:divsChild>
                            <w:div w:id="1739211271">
                              <w:marLeft w:val="0"/>
                              <w:marRight w:val="0"/>
                              <w:marTop w:val="0"/>
                              <w:marBottom w:val="375"/>
                              <w:divBdr>
                                <w:top w:val="none" w:sz="0" w:space="0" w:color="auto"/>
                                <w:left w:val="none" w:sz="0" w:space="0" w:color="auto"/>
                                <w:bottom w:val="none" w:sz="0" w:space="0" w:color="auto"/>
                                <w:right w:val="none" w:sz="0" w:space="0" w:color="auto"/>
                              </w:divBdr>
                            </w:div>
                            <w:div w:id="1410924851">
                              <w:marLeft w:val="0"/>
                              <w:marRight w:val="0"/>
                              <w:marTop w:val="0"/>
                              <w:marBottom w:val="225"/>
                              <w:divBdr>
                                <w:top w:val="none" w:sz="0" w:space="0" w:color="auto"/>
                                <w:left w:val="none" w:sz="0" w:space="0" w:color="auto"/>
                                <w:bottom w:val="none" w:sz="0" w:space="0" w:color="auto"/>
                                <w:right w:val="none" w:sz="0" w:space="0" w:color="auto"/>
                              </w:divBdr>
                              <w:divsChild>
                                <w:div w:id="264507996">
                                  <w:marLeft w:val="0"/>
                                  <w:marRight w:val="0"/>
                                  <w:marTop w:val="0"/>
                                  <w:marBottom w:val="0"/>
                                  <w:divBdr>
                                    <w:top w:val="none" w:sz="0" w:space="0" w:color="auto"/>
                                    <w:left w:val="none" w:sz="0" w:space="0" w:color="auto"/>
                                    <w:bottom w:val="none" w:sz="0" w:space="0" w:color="auto"/>
                                    <w:right w:val="none" w:sz="0" w:space="0" w:color="auto"/>
                                  </w:divBdr>
                                </w:div>
                                <w:div w:id="1940946031">
                                  <w:marLeft w:val="0"/>
                                  <w:marRight w:val="0"/>
                                  <w:marTop w:val="0"/>
                                  <w:marBottom w:val="0"/>
                                  <w:divBdr>
                                    <w:top w:val="none" w:sz="0" w:space="0" w:color="auto"/>
                                    <w:left w:val="none" w:sz="0" w:space="0" w:color="auto"/>
                                    <w:bottom w:val="none" w:sz="0" w:space="0" w:color="auto"/>
                                    <w:right w:val="none" w:sz="0" w:space="0" w:color="auto"/>
                                  </w:divBdr>
                                </w:div>
                              </w:divsChild>
                            </w:div>
                            <w:div w:id="1515338810">
                              <w:marLeft w:val="0"/>
                              <w:marRight w:val="0"/>
                              <w:marTop w:val="0"/>
                              <w:marBottom w:val="225"/>
                              <w:divBdr>
                                <w:top w:val="none" w:sz="0" w:space="0" w:color="auto"/>
                                <w:left w:val="none" w:sz="0" w:space="0" w:color="auto"/>
                                <w:bottom w:val="none" w:sz="0" w:space="0" w:color="auto"/>
                                <w:right w:val="none" w:sz="0" w:space="0" w:color="auto"/>
                              </w:divBdr>
                              <w:divsChild>
                                <w:div w:id="2098164800">
                                  <w:marLeft w:val="0"/>
                                  <w:marRight w:val="0"/>
                                  <w:marTop w:val="0"/>
                                  <w:marBottom w:val="0"/>
                                  <w:divBdr>
                                    <w:top w:val="none" w:sz="0" w:space="0" w:color="auto"/>
                                    <w:left w:val="none" w:sz="0" w:space="0" w:color="auto"/>
                                    <w:bottom w:val="none" w:sz="0" w:space="0" w:color="auto"/>
                                    <w:right w:val="none" w:sz="0" w:space="0" w:color="auto"/>
                                  </w:divBdr>
                                </w:div>
                                <w:div w:id="1834448199">
                                  <w:marLeft w:val="0"/>
                                  <w:marRight w:val="0"/>
                                  <w:marTop w:val="0"/>
                                  <w:marBottom w:val="0"/>
                                  <w:divBdr>
                                    <w:top w:val="none" w:sz="0" w:space="0" w:color="auto"/>
                                    <w:left w:val="none" w:sz="0" w:space="0" w:color="auto"/>
                                    <w:bottom w:val="none" w:sz="0" w:space="0" w:color="auto"/>
                                    <w:right w:val="none" w:sz="0" w:space="0" w:color="auto"/>
                                  </w:divBdr>
                                </w:div>
                              </w:divsChild>
                            </w:div>
                            <w:div w:id="222568678">
                              <w:marLeft w:val="0"/>
                              <w:marRight w:val="0"/>
                              <w:marTop w:val="0"/>
                              <w:marBottom w:val="225"/>
                              <w:divBdr>
                                <w:top w:val="none" w:sz="0" w:space="0" w:color="auto"/>
                                <w:left w:val="none" w:sz="0" w:space="0" w:color="auto"/>
                                <w:bottom w:val="none" w:sz="0" w:space="0" w:color="auto"/>
                                <w:right w:val="none" w:sz="0" w:space="0" w:color="auto"/>
                              </w:divBdr>
                              <w:divsChild>
                                <w:div w:id="169685515">
                                  <w:marLeft w:val="0"/>
                                  <w:marRight w:val="0"/>
                                  <w:marTop w:val="0"/>
                                  <w:marBottom w:val="0"/>
                                  <w:divBdr>
                                    <w:top w:val="none" w:sz="0" w:space="0" w:color="auto"/>
                                    <w:left w:val="none" w:sz="0" w:space="0" w:color="auto"/>
                                    <w:bottom w:val="none" w:sz="0" w:space="0" w:color="auto"/>
                                    <w:right w:val="none" w:sz="0" w:space="0" w:color="auto"/>
                                  </w:divBdr>
                                </w:div>
                                <w:div w:id="2038315082">
                                  <w:marLeft w:val="0"/>
                                  <w:marRight w:val="0"/>
                                  <w:marTop w:val="0"/>
                                  <w:marBottom w:val="0"/>
                                  <w:divBdr>
                                    <w:top w:val="none" w:sz="0" w:space="0" w:color="auto"/>
                                    <w:left w:val="none" w:sz="0" w:space="0" w:color="auto"/>
                                    <w:bottom w:val="none" w:sz="0" w:space="0" w:color="auto"/>
                                    <w:right w:val="none" w:sz="0" w:space="0" w:color="auto"/>
                                  </w:divBdr>
                                </w:div>
                              </w:divsChild>
                            </w:div>
                            <w:div w:id="1874266122">
                              <w:marLeft w:val="0"/>
                              <w:marRight w:val="0"/>
                              <w:marTop w:val="0"/>
                              <w:marBottom w:val="225"/>
                              <w:divBdr>
                                <w:top w:val="none" w:sz="0" w:space="0" w:color="auto"/>
                                <w:left w:val="none" w:sz="0" w:space="0" w:color="auto"/>
                                <w:bottom w:val="none" w:sz="0" w:space="0" w:color="auto"/>
                                <w:right w:val="none" w:sz="0" w:space="0" w:color="auto"/>
                              </w:divBdr>
                              <w:divsChild>
                                <w:div w:id="895706243">
                                  <w:marLeft w:val="0"/>
                                  <w:marRight w:val="0"/>
                                  <w:marTop w:val="0"/>
                                  <w:marBottom w:val="0"/>
                                  <w:divBdr>
                                    <w:top w:val="none" w:sz="0" w:space="0" w:color="auto"/>
                                    <w:left w:val="none" w:sz="0" w:space="0" w:color="auto"/>
                                    <w:bottom w:val="none" w:sz="0" w:space="0" w:color="auto"/>
                                    <w:right w:val="none" w:sz="0" w:space="0" w:color="auto"/>
                                  </w:divBdr>
                                </w:div>
                                <w:div w:id="396515577">
                                  <w:marLeft w:val="0"/>
                                  <w:marRight w:val="0"/>
                                  <w:marTop w:val="0"/>
                                  <w:marBottom w:val="0"/>
                                  <w:divBdr>
                                    <w:top w:val="none" w:sz="0" w:space="0" w:color="auto"/>
                                    <w:left w:val="none" w:sz="0" w:space="0" w:color="auto"/>
                                    <w:bottom w:val="none" w:sz="0" w:space="0" w:color="auto"/>
                                    <w:right w:val="none" w:sz="0" w:space="0" w:color="auto"/>
                                  </w:divBdr>
                                </w:div>
                              </w:divsChild>
                            </w:div>
                            <w:div w:id="486558239">
                              <w:marLeft w:val="0"/>
                              <w:marRight w:val="0"/>
                              <w:marTop w:val="0"/>
                              <w:marBottom w:val="225"/>
                              <w:divBdr>
                                <w:top w:val="none" w:sz="0" w:space="0" w:color="auto"/>
                                <w:left w:val="none" w:sz="0" w:space="0" w:color="auto"/>
                                <w:bottom w:val="none" w:sz="0" w:space="0" w:color="auto"/>
                                <w:right w:val="none" w:sz="0" w:space="0" w:color="auto"/>
                              </w:divBdr>
                              <w:divsChild>
                                <w:div w:id="1600483309">
                                  <w:marLeft w:val="0"/>
                                  <w:marRight w:val="0"/>
                                  <w:marTop w:val="0"/>
                                  <w:marBottom w:val="0"/>
                                  <w:divBdr>
                                    <w:top w:val="none" w:sz="0" w:space="0" w:color="auto"/>
                                    <w:left w:val="none" w:sz="0" w:space="0" w:color="auto"/>
                                    <w:bottom w:val="none" w:sz="0" w:space="0" w:color="auto"/>
                                    <w:right w:val="none" w:sz="0" w:space="0" w:color="auto"/>
                                  </w:divBdr>
                                </w:div>
                                <w:div w:id="1999771120">
                                  <w:marLeft w:val="0"/>
                                  <w:marRight w:val="0"/>
                                  <w:marTop w:val="0"/>
                                  <w:marBottom w:val="0"/>
                                  <w:divBdr>
                                    <w:top w:val="none" w:sz="0" w:space="0" w:color="auto"/>
                                    <w:left w:val="none" w:sz="0" w:space="0" w:color="auto"/>
                                    <w:bottom w:val="none" w:sz="0" w:space="0" w:color="auto"/>
                                    <w:right w:val="none" w:sz="0" w:space="0" w:color="auto"/>
                                  </w:divBdr>
                                </w:div>
                              </w:divsChild>
                            </w:div>
                            <w:div w:id="534394458">
                              <w:marLeft w:val="0"/>
                              <w:marRight w:val="0"/>
                              <w:marTop w:val="0"/>
                              <w:marBottom w:val="225"/>
                              <w:divBdr>
                                <w:top w:val="none" w:sz="0" w:space="0" w:color="auto"/>
                                <w:left w:val="none" w:sz="0" w:space="0" w:color="auto"/>
                                <w:bottom w:val="none" w:sz="0" w:space="0" w:color="auto"/>
                                <w:right w:val="none" w:sz="0" w:space="0" w:color="auto"/>
                              </w:divBdr>
                              <w:divsChild>
                                <w:div w:id="409235784">
                                  <w:marLeft w:val="0"/>
                                  <w:marRight w:val="0"/>
                                  <w:marTop w:val="0"/>
                                  <w:marBottom w:val="0"/>
                                  <w:divBdr>
                                    <w:top w:val="none" w:sz="0" w:space="0" w:color="auto"/>
                                    <w:left w:val="none" w:sz="0" w:space="0" w:color="auto"/>
                                    <w:bottom w:val="none" w:sz="0" w:space="0" w:color="auto"/>
                                    <w:right w:val="none" w:sz="0" w:space="0" w:color="auto"/>
                                  </w:divBdr>
                                </w:div>
                                <w:div w:id="164787602">
                                  <w:marLeft w:val="0"/>
                                  <w:marRight w:val="0"/>
                                  <w:marTop w:val="0"/>
                                  <w:marBottom w:val="0"/>
                                  <w:divBdr>
                                    <w:top w:val="none" w:sz="0" w:space="0" w:color="auto"/>
                                    <w:left w:val="none" w:sz="0" w:space="0" w:color="auto"/>
                                    <w:bottom w:val="none" w:sz="0" w:space="0" w:color="auto"/>
                                    <w:right w:val="none" w:sz="0" w:space="0" w:color="auto"/>
                                  </w:divBdr>
                                </w:div>
                              </w:divsChild>
                            </w:div>
                            <w:div w:id="1602101502">
                              <w:marLeft w:val="0"/>
                              <w:marRight w:val="0"/>
                              <w:marTop w:val="0"/>
                              <w:marBottom w:val="225"/>
                              <w:divBdr>
                                <w:top w:val="none" w:sz="0" w:space="0" w:color="auto"/>
                                <w:left w:val="none" w:sz="0" w:space="0" w:color="auto"/>
                                <w:bottom w:val="none" w:sz="0" w:space="0" w:color="auto"/>
                                <w:right w:val="none" w:sz="0" w:space="0" w:color="auto"/>
                              </w:divBdr>
                              <w:divsChild>
                                <w:div w:id="1111559045">
                                  <w:marLeft w:val="0"/>
                                  <w:marRight w:val="0"/>
                                  <w:marTop w:val="0"/>
                                  <w:marBottom w:val="0"/>
                                  <w:divBdr>
                                    <w:top w:val="none" w:sz="0" w:space="0" w:color="auto"/>
                                    <w:left w:val="none" w:sz="0" w:space="0" w:color="auto"/>
                                    <w:bottom w:val="none" w:sz="0" w:space="0" w:color="auto"/>
                                    <w:right w:val="none" w:sz="0" w:space="0" w:color="auto"/>
                                  </w:divBdr>
                                </w:div>
                                <w:div w:id="1993605820">
                                  <w:marLeft w:val="0"/>
                                  <w:marRight w:val="0"/>
                                  <w:marTop w:val="0"/>
                                  <w:marBottom w:val="0"/>
                                  <w:divBdr>
                                    <w:top w:val="none" w:sz="0" w:space="0" w:color="auto"/>
                                    <w:left w:val="none" w:sz="0" w:space="0" w:color="auto"/>
                                    <w:bottom w:val="none" w:sz="0" w:space="0" w:color="auto"/>
                                    <w:right w:val="none" w:sz="0" w:space="0" w:color="auto"/>
                                  </w:divBdr>
                                </w:div>
                              </w:divsChild>
                            </w:div>
                            <w:div w:id="66198226">
                              <w:marLeft w:val="0"/>
                              <w:marRight w:val="0"/>
                              <w:marTop w:val="0"/>
                              <w:marBottom w:val="225"/>
                              <w:divBdr>
                                <w:top w:val="none" w:sz="0" w:space="0" w:color="auto"/>
                                <w:left w:val="none" w:sz="0" w:space="0" w:color="auto"/>
                                <w:bottom w:val="none" w:sz="0" w:space="0" w:color="auto"/>
                                <w:right w:val="none" w:sz="0" w:space="0" w:color="auto"/>
                              </w:divBdr>
                              <w:divsChild>
                                <w:div w:id="1149203039">
                                  <w:marLeft w:val="0"/>
                                  <w:marRight w:val="0"/>
                                  <w:marTop w:val="0"/>
                                  <w:marBottom w:val="0"/>
                                  <w:divBdr>
                                    <w:top w:val="none" w:sz="0" w:space="0" w:color="auto"/>
                                    <w:left w:val="none" w:sz="0" w:space="0" w:color="auto"/>
                                    <w:bottom w:val="none" w:sz="0" w:space="0" w:color="auto"/>
                                    <w:right w:val="none" w:sz="0" w:space="0" w:color="auto"/>
                                  </w:divBdr>
                                </w:div>
                                <w:div w:id="1295984362">
                                  <w:marLeft w:val="0"/>
                                  <w:marRight w:val="0"/>
                                  <w:marTop w:val="0"/>
                                  <w:marBottom w:val="0"/>
                                  <w:divBdr>
                                    <w:top w:val="none" w:sz="0" w:space="0" w:color="auto"/>
                                    <w:left w:val="none" w:sz="0" w:space="0" w:color="auto"/>
                                    <w:bottom w:val="none" w:sz="0" w:space="0" w:color="auto"/>
                                    <w:right w:val="none" w:sz="0" w:space="0" w:color="auto"/>
                                  </w:divBdr>
                                </w:div>
                              </w:divsChild>
                            </w:div>
                            <w:div w:id="1837261539">
                              <w:marLeft w:val="0"/>
                              <w:marRight w:val="0"/>
                              <w:marTop w:val="0"/>
                              <w:marBottom w:val="225"/>
                              <w:divBdr>
                                <w:top w:val="none" w:sz="0" w:space="0" w:color="auto"/>
                                <w:left w:val="none" w:sz="0" w:space="0" w:color="auto"/>
                                <w:bottom w:val="none" w:sz="0" w:space="0" w:color="auto"/>
                                <w:right w:val="none" w:sz="0" w:space="0" w:color="auto"/>
                              </w:divBdr>
                              <w:divsChild>
                                <w:div w:id="1970285123">
                                  <w:marLeft w:val="0"/>
                                  <w:marRight w:val="0"/>
                                  <w:marTop w:val="0"/>
                                  <w:marBottom w:val="0"/>
                                  <w:divBdr>
                                    <w:top w:val="none" w:sz="0" w:space="0" w:color="auto"/>
                                    <w:left w:val="none" w:sz="0" w:space="0" w:color="auto"/>
                                    <w:bottom w:val="none" w:sz="0" w:space="0" w:color="auto"/>
                                    <w:right w:val="none" w:sz="0" w:space="0" w:color="auto"/>
                                  </w:divBdr>
                                </w:div>
                                <w:div w:id="1661737378">
                                  <w:marLeft w:val="0"/>
                                  <w:marRight w:val="0"/>
                                  <w:marTop w:val="0"/>
                                  <w:marBottom w:val="0"/>
                                  <w:divBdr>
                                    <w:top w:val="none" w:sz="0" w:space="0" w:color="auto"/>
                                    <w:left w:val="none" w:sz="0" w:space="0" w:color="auto"/>
                                    <w:bottom w:val="none" w:sz="0" w:space="0" w:color="auto"/>
                                    <w:right w:val="none" w:sz="0" w:space="0" w:color="auto"/>
                                  </w:divBdr>
                                </w:div>
                              </w:divsChild>
                            </w:div>
                            <w:div w:id="1381857205">
                              <w:marLeft w:val="0"/>
                              <w:marRight w:val="0"/>
                              <w:marTop w:val="0"/>
                              <w:marBottom w:val="225"/>
                              <w:divBdr>
                                <w:top w:val="none" w:sz="0" w:space="0" w:color="auto"/>
                                <w:left w:val="none" w:sz="0" w:space="0" w:color="auto"/>
                                <w:bottom w:val="none" w:sz="0" w:space="0" w:color="auto"/>
                                <w:right w:val="none" w:sz="0" w:space="0" w:color="auto"/>
                              </w:divBdr>
                              <w:divsChild>
                                <w:div w:id="1325082627">
                                  <w:marLeft w:val="0"/>
                                  <w:marRight w:val="0"/>
                                  <w:marTop w:val="0"/>
                                  <w:marBottom w:val="0"/>
                                  <w:divBdr>
                                    <w:top w:val="none" w:sz="0" w:space="0" w:color="auto"/>
                                    <w:left w:val="none" w:sz="0" w:space="0" w:color="auto"/>
                                    <w:bottom w:val="none" w:sz="0" w:space="0" w:color="auto"/>
                                    <w:right w:val="none" w:sz="0" w:space="0" w:color="auto"/>
                                  </w:divBdr>
                                </w:div>
                                <w:div w:id="4415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330534">
          <w:marLeft w:val="0"/>
          <w:marRight w:val="0"/>
          <w:marTop w:val="0"/>
          <w:marBottom w:val="0"/>
          <w:divBdr>
            <w:top w:val="none" w:sz="0" w:space="0" w:color="auto"/>
            <w:left w:val="none" w:sz="0" w:space="0" w:color="auto"/>
            <w:bottom w:val="none" w:sz="0" w:space="0" w:color="auto"/>
            <w:right w:val="none" w:sz="0" w:space="0" w:color="auto"/>
          </w:divBdr>
          <w:divsChild>
            <w:div w:id="1172717819">
              <w:marLeft w:val="0"/>
              <w:marRight w:val="0"/>
              <w:marTop w:val="0"/>
              <w:marBottom w:val="0"/>
              <w:divBdr>
                <w:top w:val="none" w:sz="0" w:space="0" w:color="auto"/>
                <w:left w:val="none" w:sz="0" w:space="0" w:color="auto"/>
                <w:bottom w:val="none" w:sz="0" w:space="0" w:color="auto"/>
                <w:right w:val="none" w:sz="0" w:space="0" w:color="auto"/>
              </w:divBdr>
              <w:divsChild>
                <w:div w:id="19863059">
                  <w:marLeft w:val="0"/>
                  <w:marRight w:val="0"/>
                  <w:marTop w:val="0"/>
                  <w:marBottom w:val="0"/>
                  <w:divBdr>
                    <w:top w:val="none" w:sz="0" w:space="0" w:color="auto"/>
                    <w:left w:val="none" w:sz="0" w:space="0" w:color="auto"/>
                    <w:bottom w:val="none" w:sz="0" w:space="0" w:color="auto"/>
                    <w:right w:val="none" w:sz="0" w:space="0" w:color="auto"/>
                  </w:divBdr>
                </w:div>
                <w:div w:id="2015448221">
                  <w:marLeft w:val="0"/>
                  <w:marRight w:val="0"/>
                  <w:marTop w:val="0"/>
                  <w:marBottom w:val="0"/>
                  <w:divBdr>
                    <w:top w:val="none" w:sz="0" w:space="0" w:color="auto"/>
                    <w:left w:val="none" w:sz="0" w:space="0" w:color="auto"/>
                    <w:bottom w:val="none" w:sz="0" w:space="0" w:color="auto"/>
                    <w:right w:val="none" w:sz="0" w:space="0" w:color="auto"/>
                  </w:divBdr>
                </w:div>
              </w:divsChild>
            </w:div>
            <w:div w:id="469909096">
              <w:marLeft w:val="0"/>
              <w:marRight w:val="0"/>
              <w:marTop w:val="0"/>
              <w:marBottom w:val="0"/>
              <w:divBdr>
                <w:top w:val="none" w:sz="0" w:space="0" w:color="auto"/>
                <w:left w:val="none" w:sz="0" w:space="0" w:color="auto"/>
                <w:bottom w:val="none" w:sz="0" w:space="0" w:color="auto"/>
                <w:right w:val="none" w:sz="0" w:space="0" w:color="auto"/>
              </w:divBdr>
              <w:divsChild>
                <w:div w:id="894967156">
                  <w:marLeft w:val="0"/>
                  <w:marRight w:val="0"/>
                  <w:marTop w:val="0"/>
                  <w:marBottom w:val="0"/>
                  <w:divBdr>
                    <w:top w:val="none" w:sz="0" w:space="0" w:color="auto"/>
                    <w:left w:val="none" w:sz="0" w:space="0" w:color="auto"/>
                    <w:bottom w:val="none" w:sz="0" w:space="0" w:color="auto"/>
                    <w:right w:val="none" w:sz="0" w:space="0" w:color="auto"/>
                  </w:divBdr>
                </w:div>
                <w:div w:id="213208835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938709939">
          <w:marLeft w:val="0"/>
          <w:marRight w:val="0"/>
          <w:marTop w:val="0"/>
          <w:marBottom w:val="0"/>
          <w:divBdr>
            <w:top w:val="none" w:sz="0" w:space="0" w:color="auto"/>
            <w:left w:val="none" w:sz="0" w:space="0" w:color="auto"/>
            <w:bottom w:val="none" w:sz="0" w:space="0" w:color="auto"/>
            <w:right w:val="none" w:sz="0" w:space="0" w:color="auto"/>
          </w:divBdr>
        </w:div>
      </w:divsChild>
    </w:div>
    <w:div w:id="831602521">
      <w:bodyDiv w:val="1"/>
      <w:marLeft w:val="0"/>
      <w:marRight w:val="0"/>
      <w:marTop w:val="0"/>
      <w:marBottom w:val="0"/>
      <w:divBdr>
        <w:top w:val="none" w:sz="0" w:space="0" w:color="auto"/>
        <w:left w:val="none" w:sz="0" w:space="0" w:color="auto"/>
        <w:bottom w:val="none" w:sz="0" w:space="0" w:color="auto"/>
        <w:right w:val="none" w:sz="0" w:space="0" w:color="auto"/>
      </w:divBdr>
    </w:div>
    <w:div w:id="1053844786">
      <w:bodyDiv w:val="1"/>
      <w:marLeft w:val="0"/>
      <w:marRight w:val="0"/>
      <w:marTop w:val="0"/>
      <w:marBottom w:val="0"/>
      <w:divBdr>
        <w:top w:val="none" w:sz="0" w:space="0" w:color="auto"/>
        <w:left w:val="none" w:sz="0" w:space="0" w:color="auto"/>
        <w:bottom w:val="none" w:sz="0" w:space="0" w:color="auto"/>
        <w:right w:val="none" w:sz="0" w:space="0" w:color="auto"/>
      </w:divBdr>
    </w:div>
    <w:div w:id="1135412544">
      <w:bodyDiv w:val="1"/>
      <w:marLeft w:val="0"/>
      <w:marRight w:val="0"/>
      <w:marTop w:val="0"/>
      <w:marBottom w:val="0"/>
      <w:divBdr>
        <w:top w:val="none" w:sz="0" w:space="0" w:color="auto"/>
        <w:left w:val="none" w:sz="0" w:space="0" w:color="auto"/>
        <w:bottom w:val="none" w:sz="0" w:space="0" w:color="auto"/>
        <w:right w:val="none" w:sz="0" w:space="0" w:color="auto"/>
      </w:divBdr>
    </w:div>
    <w:div w:id="1405447898">
      <w:bodyDiv w:val="1"/>
      <w:marLeft w:val="0"/>
      <w:marRight w:val="0"/>
      <w:marTop w:val="0"/>
      <w:marBottom w:val="0"/>
      <w:divBdr>
        <w:top w:val="none" w:sz="0" w:space="0" w:color="auto"/>
        <w:left w:val="none" w:sz="0" w:space="0" w:color="auto"/>
        <w:bottom w:val="none" w:sz="0" w:space="0" w:color="auto"/>
        <w:right w:val="none" w:sz="0" w:space="0" w:color="auto"/>
      </w:divBdr>
    </w:div>
    <w:div w:id="1407993497">
      <w:bodyDiv w:val="1"/>
      <w:marLeft w:val="0"/>
      <w:marRight w:val="0"/>
      <w:marTop w:val="0"/>
      <w:marBottom w:val="0"/>
      <w:divBdr>
        <w:top w:val="none" w:sz="0" w:space="0" w:color="auto"/>
        <w:left w:val="none" w:sz="0" w:space="0" w:color="auto"/>
        <w:bottom w:val="none" w:sz="0" w:space="0" w:color="auto"/>
        <w:right w:val="none" w:sz="0" w:space="0" w:color="auto"/>
      </w:divBdr>
    </w:div>
    <w:div w:id="1642687465">
      <w:bodyDiv w:val="1"/>
      <w:marLeft w:val="0"/>
      <w:marRight w:val="0"/>
      <w:marTop w:val="0"/>
      <w:marBottom w:val="0"/>
      <w:divBdr>
        <w:top w:val="none" w:sz="0" w:space="0" w:color="auto"/>
        <w:left w:val="none" w:sz="0" w:space="0" w:color="auto"/>
        <w:bottom w:val="none" w:sz="0" w:space="0" w:color="auto"/>
        <w:right w:val="none" w:sz="0" w:space="0" w:color="auto"/>
      </w:divBdr>
    </w:div>
    <w:div w:id="1748571886">
      <w:bodyDiv w:val="1"/>
      <w:marLeft w:val="0"/>
      <w:marRight w:val="0"/>
      <w:marTop w:val="0"/>
      <w:marBottom w:val="0"/>
      <w:divBdr>
        <w:top w:val="none" w:sz="0" w:space="0" w:color="auto"/>
        <w:left w:val="none" w:sz="0" w:space="0" w:color="auto"/>
        <w:bottom w:val="none" w:sz="0" w:space="0" w:color="auto"/>
        <w:right w:val="none" w:sz="0" w:space="0" w:color="auto"/>
      </w:divBdr>
    </w:div>
    <w:div w:id="207102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fgem.gov.uk/electricity/transmission-networks/charging/targeted-charging-review-significant-code-review" TargetMode="External"/><Relationship Id="rId18" Type="http://schemas.openxmlformats.org/officeDocument/2006/relationships/hyperlink" Target="https://assets.publishing.service.gov.uk/government/uploads/system/uploads/attachment_data/file/943756/reforming-energy-code-summary-responses-.pdf" TargetMode="External"/><Relationship Id="rId26" Type="http://schemas.openxmlformats.org/officeDocument/2006/relationships/hyperlink" Target="https://www.ofgem.gov.uk/publications/ofgem-update-stabilising-energy-market" TargetMode="External"/><Relationship Id="rId3" Type="http://schemas.openxmlformats.org/officeDocument/2006/relationships/customXml" Target="../customXml/item3.xml"/><Relationship Id="rId21" Type="http://schemas.openxmlformats.org/officeDocument/2006/relationships/hyperlink" Target="https://www.ofgem.gov.uk/publications/consultation-and-workshop-design-and-delivery-energy-code-reform?utm_medium=email&amp;utm_source=dotMailer&amp;utm_campaign=Daily-Alert_20-07-2021&amp;utm_content=Consultation+and+workshop+on+the+Design+and+Delivery+of+the+Energy+Code+Reform&amp;dm_i=1QCB,7GPNM,KDYUUE,UC6WN,1" TargetMode="External"/><Relationship Id="rId7" Type="http://schemas.openxmlformats.org/officeDocument/2006/relationships/settings" Target="settings.xml"/><Relationship Id="rId12" Type="http://schemas.openxmlformats.org/officeDocument/2006/relationships/hyperlink" Target="https://www.ofgem.gov.uk/publications/decision-approve-sec-code-modification-mp162-sec-changes-required-deliver-mhhs" TargetMode="External"/><Relationship Id="rId17" Type="http://schemas.openxmlformats.org/officeDocument/2006/relationships/hyperlink" Target="https://assets.publishing.service.gov.uk/government/uploads/system/uploads/attachment_data/file/828302/reforming-energy-industry-codes-consultation.pdf" TargetMode="External"/><Relationship Id="rId25" Type="http://schemas.openxmlformats.org/officeDocument/2006/relationships/hyperlink" Target="https://www.gov.uk/government/speeches/pm-liz-trusss-opening-speech-on-the-energy-policy-debate"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16491/energy-code-review-invitation-to-workshop.pdf" TargetMode="External"/><Relationship Id="rId20" Type="http://schemas.openxmlformats.org/officeDocument/2006/relationships/hyperlink" Target="https://assets.publishing.service.gov.uk/government/uploads/system/uploads/attachment_data/file/1004010/energy-code-reform-consultation-impact-assessment.pdf" TargetMode="External"/><Relationship Id="rId29" Type="http://schemas.openxmlformats.org/officeDocument/2006/relationships/hyperlink" Target="https://smartenergycodecompany.co.uk/modifications/allowing-generation-licence-holders-to-apply-export-mpa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https://www.ofgem.gov.uk/electricity/transmission-networks/charging/reform-network-access-and-forward-looking-charges" TargetMode="External"/><Relationship Id="rId24" Type="http://schemas.openxmlformats.org/officeDocument/2006/relationships/hyperlink" Target="https://www.ofgem.gov.uk/publications/ofgem-launches-new-proposals-strengthen-energy-market-and-protect-consumer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energy-network-codes-review" TargetMode="External"/><Relationship Id="rId23" Type="http://schemas.openxmlformats.org/officeDocument/2006/relationships/hyperlink" Target="https://www.ofgem.gov.uk/publications/distribution-use-system-charges-significant-code-review-launch" TargetMode="External"/><Relationship Id="rId28" Type="http://schemas.openxmlformats.org/officeDocument/2006/relationships/hyperlink" Target="https://smartenergycodecompany.co.uk/modifications/allowing-generation-licence-holders-to-apply-export-mpans/" TargetMode="External"/><Relationship Id="rId10" Type="http://schemas.openxmlformats.org/officeDocument/2006/relationships/endnotes" Target="endnotes.xml"/><Relationship Id="rId19" Type="http://schemas.openxmlformats.org/officeDocument/2006/relationships/hyperlink" Target="https://www.gov.uk/government/consultations/energy-code-reform-governance-framewor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fgem.gov.uk/publications/closure-switching-scr" TargetMode="External"/><Relationship Id="rId22" Type="http://schemas.openxmlformats.org/officeDocument/2006/relationships/hyperlink" Target="https://assets.publishing.service.gov.uk/government/uploads/system/uploads/attachment_data/file/1066722/energy-code-reform-consultation-government-response.pdf" TargetMode="External"/><Relationship Id="rId27" Type="http://schemas.openxmlformats.org/officeDocument/2006/relationships/hyperlink" Target="https://www.gov.uk/government/news/millions-to-receive-350-boost-to-help-with-rising-energy-costs"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NW">
      <a:dk1>
        <a:srgbClr val="00245D"/>
      </a:dk1>
      <a:lt1>
        <a:srgbClr val="FFFFFF"/>
      </a:lt1>
      <a:dk2>
        <a:srgbClr val="7AC143"/>
      </a:dk2>
      <a:lt2>
        <a:srgbClr val="6CADDF"/>
      </a:lt2>
      <a:accent1>
        <a:srgbClr val="9C7DB9"/>
      </a:accent1>
      <a:accent2>
        <a:srgbClr val="F58426"/>
      </a:accent2>
      <a:accent3>
        <a:srgbClr val="DB0962"/>
      </a:accent3>
      <a:accent4>
        <a:srgbClr val="22BCB9"/>
      </a:accent4>
      <a:accent5>
        <a:srgbClr val="5F6062"/>
      </a:accent5>
      <a:accent6>
        <a:srgbClr val="A1A1A4"/>
      </a:accent6>
      <a:hlink>
        <a:srgbClr val="004CC5"/>
      </a:hlink>
      <a:folHlink>
        <a:srgbClr val="9C7DB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tlCol="0" anchor="ctr"/>
      <a:lstStyle/>
      <a:style>
        <a:lnRef idx="2">
          <a:schemeClr val="dk1">
            <a:shade val="50000"/>
          </a:schemeClr>
        </a:lnRef>
        <a:fillRef idx="1">
          <a:schemeClr val="dk1"/>
        </a:fillRef>
        <a:effectRef idx="0">
          <a:schemeClr val="dk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86F8F8950BDB4F867D2A4EF86A69A6" ma:contentTypeVersion="13" ma:contentTypeDescription="Create a new document." ma:contentTypeScope="" ma:versionID="919d94bc4e5d27731b01ffd8ae568c3a">
  <xsd:schema xmlns:xsd="http://www.w3.org/2001/XMLSchema" xmlns:xs="http://www.w3.org/2001/XMLSchema" xmlns:p="http://schemas.microsoft.com/office/2006/metadata/properties" xmlns:ns3="8ee83236-fdac-4f9a-9e29-1b313e18c3d5" xmlns:ns4="8015c716-7638-4fbc-b740-dc4a67044737" targetNamespace="http://schemas.microsoft.com/office/2006/metadata/properties" ma:root="true" ma:fieldsID="8b99fd313279242a019444baf1268f5c" ns3:_="" ns4:_="">
    <xsd:import namespace="8ee83236-fdac-4f9a-9e29-1b313e18c3d5"/>
    <xsd:import namespace="8015c716-7638-4fbc-b740-dc4a67044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83236-fdac-4f9a-9e29-1b313e18c3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c716-7638-4fbc-b740-dc4a670447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9A533-9D5F-4C94-9953-8997F8DCABFA}">
  <ds:schemaRefs>
    <ds:schemaRef ds:uri="http://schemas.microsoft.com/sharepoint/v3/contenttype/forms"/>
  </ds:schemaRefs>
</ds:datastoreItem>
</file>

<file path=customXml/itemProps2.xml><?xml version="1.0" encoding="utf-8"?>
<ds:datastoreItem xmlns:ds="http://schemas.openxmlformats.org/officeDocument/2006/customXml" ds:itemID="{45303CBC-0317-455B-ADF9-F497B8A2731A}">
  <ds:schemaRefs>
    <ds:schemaRef ds:uri="http://schemas.microsoft.com/office/2006/metadata/properties"/>
    <ds:schemaRef ds:uri="8015c716-7638-4fbc-b740-dc4a67044737"/>
    <ds:schemaRef ds:uri="http://purl.org/dc/terms/"/>
    <ds:schemaRef ds:uri="http://schemas.openxmlformats.org/package/2006/metadata/core-properties"/>
    <ds:schemaRef ds:uri="8ee83236-fdac-4f9a-9e29-1b313e18c3d5"/>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593AD79-05E6-4EA7-A457-BAAA37007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83236-fdac-4f9a-9e29-1b313e18c3d5"/>
    <ds:schemaRef ds:uri="8015c716-7638-4fbc-b740-dc4a67044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5AA1F-2F49-4CF3-BC00-584E16F5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3290</Words>
  <Characters>18757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Electricity North West Ltd</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Oliver</dc:creator>
  <cp:lastModifiedBy>Sherry, Andrew</cp:lastModifiedBy>
  <cp:revision>3</cp:revision>
  <dcterms:created xsi:type="dcterms:W3CDTF">2022-12-12T16:49:00Z</dcterms:created>
  <dcterms:modified xsi:type="dcterms:W3CDTF">2022-12-12T16:56:00Z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0x0101005A86F8F8950BDB4F867D2A4EF86A69A6</vt:lpwstr>
  </property>
</Properties>
</file>