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AB6" w:rsidRDefault="005F2AB6" w:rsidP="005F2AB6">
      <w:pPr>
        <w:spacing w:after="120"/>
        <w:jc w:val="center"/>
        <w:rPr>
          <w:rFonts w:ascii="Calibri" w:hAnsi="Calibri"/>
          <w:b/>
          <w:bCs/>
          <w:sz w:val="24"/>
          <w:szCs w:val="24"/>
        </w:rPr>
      </w:pPr>
      <w:r>
        <w:rPr>
          <w:rFonts w:ascii="Calibri" w:hAnsi="Calibri"/>
          <w:b/>
          <w:bCs/>
          <w:sz w:val="24"/>
          <w:szCs w:val="24"/>
        </w:rPr>
        <w:t xml:space="preserve">Regulation </w:t>
      </w:r>
      <w:r w:rsidR="00000505">
        <w:rPr>
          <w:rFonts w:ascii="Calibri" w:hAnsi="Calibri"/>
          <w:b/>
          <w:bCs/>
          <w:sz w:val="24"/>
          <w:szCs w:val="24"/>
        </w:rPr>
        <w:t xml:space="preserve">and policy </w:t>
      </w:r>
      <w:r w:rsidRPr="00B22932">
        <w:rPr>
          <w:rFonts w:ascii="Calibri" w:hAnsi="Calibri"/>
          <w:b/>
          <w:bCs/>
          <w:sz w:val="24"/>
          <w:szCs w:val="24"/>
        </w:rPr>
        <w:t>update for community and local energy stakeholders</w:t>
      </w:r>
      <w:r w:rsidR="004F7CC2">
        <w:rPr>
          <w:rFonts w:ascii="Calibri" w:hAnsi="Calibri"/>
          <w:b/>
          <w:bCs/>
          <w:sz w:val="24"/>
          <w:szCs w:val="24"/>
        </w:rPr>
        <w:t xml:space="preserve"> </w:t>
      </w:r>
      <w:r w:rsidR="004F7CC2" w:rsidRPr="00374FDB">
        <w:rPr>
          <w:rFonts w:ascii="Calibri" w:hAnsi="Calibri"/>
          <w:b/>
          <w:bCs/>
          <w:sz w:val="24"/>
          <w:szCs w:val="24"/>
          <w:highlight w:val="cyan"/>
        </w:rPr>
        <w:t>(</w:t>
      </w:r>
      <w:r w:rsidR="008A08A6">
        <w:rPr>
          <w:rFonts w:ascii="Calibri" w:hAnsi="Calibri"/>
          <w:b/>
          <w:bCs/>
          <w:sz w:val="24"/>
          <w:szCs w:val="24"/>
          <w:highlight w:val="cyan"/>
        </w:rPr>
        <w:t>September</w:t>
      </w:r>
      <w:r w:rsidR="00BC053F" w:rsidRPr="00374FDB">
        <w:rPr>
          <w:rFonts w:ascii="Calibri" w:hAnsi="Calibri"/>
          <w:b/>
          <w:bCs/>
          <w:sz w:val="24"/>
          <w:szCs w:val="24"/>
          <w:highlight w:val="cyan"/>
        </w:rPr>
        <w:t xml:space="preserve"> 2022</w:t>
      </w:r>
      <w:r w:rsidR="00A85294" w:rsidRPr="00374FDB">
        <w:rPr>
          <w:rFonts w:ascii="Calibri" w:hAnsi="Calibri"/>
          <w:b/>
          <w:bCs/>
          <w:sz w:val="24"/>
          <w:szCs w:val="24"/>
          <w:highlight w:val="cyan"/>
        </w:rPr>
        <w:t>)</w:t>
      </w:r>
    </w:p>
    <w:p w:rsidR="00BA4353" w:rsidRPr="00000505" w:rsidRDefault="00000505" w:rsidP="00000505">
      <w:pPr>
        <w:spacing w:after="120"/>
        <w:rPr>
          <w:rFonts w:ascii="Calibri" w:hAnsi="Calibri"/>
          <w:bCs/>
          <w:sz w:val="24"/>
          <w:szCs w:val="24"/>
        </w:rPr>
      </w:pPr>
      <w:r w:rsidRPr="00000505">
        <w:rPr>
          <w:rFonts w:ascii="Calibri" w:hAnsi="Calibri"/>
          <w:bCs/>
          <w:sz w:val="24"/>
          <w:szCs w:val="24"/>
        </w:rPr>
        <w:t xml:space="preserve">We are producing this document in response to stakeholder feedback to help highlight relevant regulation and </w:t>
      </w:r>
      <w:r w:rsidR="00E77657" w:rsidRPr="00000505">
        <w:rPr>
          <w:rFonts w:ascii="Calibri" w:hAnsi="Calibri"/>
          <w:bCs/>
          <w:sz w:val="24"/>
          <w:szCs w:val="24"/>
        </w:rPr>
        <w:t>policy</w:t>
      </w:r>
      <w:r w:rsidR="00E77657">
        <w:rPr>
          <w:rFonts w:ascii="Calibri" w:hAnsi="Calibri"/>
          <w:bCs/>
          <w:sz w:val="24"/>
          <w:szCs w:val="24"/>
        </w:rPr>
        <w:t xml:space="preserve"> and</w:t>
      </w:r>
      <w:r w:rsidRPr="00000505">
        <w:rPr>
          <w:rFonts w:ascii="Calibri" w:hAnsi="Calibri"/>
          <w:bCs/>
          <w:sz w:val="24"/>
          <w:szCs w:val="24"/>
        </w:rPr>
        <w:t xml:space="preserve"> provide context as to why it is important to community and local energy stakeholders. </w:t>
      </w:r>
      <w:r w:rsidR="005F2AB6" w:rsidRPr="00000505">
        <w:rPr>
          <w:rFonts w:ascii="Calibri" w:hAnsi="Calibri"/>
          <w:bCs/>
          <w:sz w:val="24"/>
          <w:szCs w:val="24"/>
        </w:rPr>
        <w:t xml:space="preserve">The electricity industry is going through a period of rapid development this </w:t>
      </w:r>
      <w:r w:rsidR="00610AB3">
        <w:rPr>
          <w:rFonts w:ascii="Calibri" w:hAnsi="Calibri"/>
          <w:bCs/>
          <w:sz w:val="24"/>
          <w:szCs w:val="24"/>
        </w:rPr>
        <w:t>is not</w:t>
      </w:r>
      <w:r w:rsidR="005F2AB6" w:rsidRPr="00000505">
        <w:rPr>
          <w:rFonts w:ascii="Calibri" w:hAnsi="Calibri"/>
          <w:bCs/>
          <w:sz w:val="24"/>
          <w:szCs w:val="24"/>
        </w:rPr>
        <w:t xml:space="preserve"> an exhaustive </w:t>
      </w:r>
      <w:r w:rsidR="001010E8" w:rsidRPr="00000505">
        <w:rPr>
          <w:rFonts w:ascii="Calibri" w:hAnsi="Calibri"/>
          <w:bCs/>
          <w:sz w:val="24"/>
          <w:szCs w:val="24"/>
        </w:rPr>
        <w:t>list</w:t>
      </w:r>
      <w:r w:rsidR="001010E8">
        <w:rPr>
          <w:rFonts w:ascii="Calibri" w:hAnsi="Calibri"/>
          <w:bCs/>
          <w:sz w:val="24"/>
          <w:szCs w:val="24"/>
        </w:rPr>
        <w:t xml:space="preserve"> but</w:t>
      </w:r>
      <w:r w:rsidR="005F2AB6" w:rsidRPr="00000505">
        <w:rPr>
          <w:rFonts w:ascii="Calibri" w:hAnsi="Calibri"/>
          <w:bCs/>
          <w:sz w:val="24"/>
          <w:szCs w:val="24"/>
        </w:rPr>
        <w:t xml:space="preserve"> will hopefully be a useful summary and prompt for further reading.</w:t>
      </w:r>
      <w:r w:rsidR="00BA4353">
        <w:rPr>
          <w:rFonts w:ascii="Calibri" w:hAnsi="Calibri"/>
          <w:bCs/>
          <w:sz w:val="24"/>
          <w:szCs w:val="24"/>
        </w:rPr>
        <w:t xml:space="preserve"> </w:t>
      </w:r>
      <w:r w:rsidR="0071004A">
        <w:rPr>
          <w:rFonts w:ascii="Calibri" w:hAnsi="Calibri"/>
          <w:bCs/>
          <w:sz w:val="24"/>
          <w:szCs w:val="24"/>
        </w:rPr>
        <w:t>Only t</w:t>
      </w:r>
      <w:r w:rsidR="00BA4353">
        <w:rPr>
          <w:rFonts w:ascii="Calibri" w:hAnsi="Calibri"/>
          <w:bCs/>
          <w:sz w:val="24"/>
          <w:szCs w:val="24"/>
        </w:rPr>
        <w:t>he updated section</w:t>
      </w:r>
      <w:r w:rsidR="0071004A">
        <w:rPr>
          <w:rFonts w:ascii="Calibri" w:hAnsi="Calibri"/>
          <w:bCs/>
          <w:sz w:val="24"/>
          <w:szCs w:val="24"/>
        </w:rPr>
        <w:t>s are included here</w:t>
      </w:r>
      <w:r w:rsidR="00327C07">
        <w:rPr>
          <w:rFonts w:ascii="Calibri" w:hAnsi="Calibri"/>
          <w:bCs/>
          <w:sz w:val="24"/>
          <w:szCs w:val="24"/>
        </w:rPr>
        <w:t xml:space="preserve"> noted in blue highlight</w:t>
      </w:r>
      <w:r w:rsidR="00885ED0">
        <w:rPr>
          <w:rFonts w:ascii="Calibri" w:hAnsi="Calibri"/>
          <w:bCs/>
          <w:sz w:val="24"/>
          <w:szCs w:val="24"/>
        </w:rPr>
        <w:t>.</w:t>
      </w:r>
    </w:p>
    <w:tbl>
      <w:tblPr>
        <w:tblStyle w:val="TableGrid"/>
        <w:tblpPr w:leftFromText="180" w:rightFromText="180" w:vertAnchor="page" w:horzAnchor="margin" w:tblpY="4084"/>
        <w:tblW w:w="14029" w:type="dxa"/>
        <w:tblLayout w:type="fixed"/>
        <w:tblLook w:val="04A0" w:firstRow="1" w:lastRow="0" w:firstColumn="1" w:lastColumn="0" w:noHBand="0" w:noVBand="1"/>
      </w:tblPr>
      <w:tblGrid>
        <w:gridCol w:w="1696"/>
        <w:gridCol w:w="2552"/>
        <w:gridCol w:w="1276"/>
        <w:gridCol w:w="4961"/>
        <w:gridCol w:w="3544"/>
      </w:tblGrid>
      <w:tr w:rsidR="00CD5FBF" w:rsidRPr="00315E1C" w:rsidTr="00767745">
        <w:tc>
          <w:tcPr>
            <w:tcW w:w="1696" w:type="dxa"/>
            <w:tcBorders>
              <w:bottom w:val="single" w:sz="4" w:space="0" w:color="auto"/>
            </w:tcBorders>
            <w:shd w:val="pct10" w:color="auto" w:fill="auto"/>
          </w:tcPr>
          <w:p w:rsidR="00000505" w:rsidRPr="00F36E03" w:rsidRDefault="00000505" w:rsidP="00000505">
            <w:pPr>
              <w:spacing w:after="120"/>
              <w:jc w:val="left"/>
              <w:rPr>
                <w:rFonts w:ascii="Calibri" w:hAnsi="Calibri"/>
                <w:b/>
                <w:bCs/>
              </w:rPr>
            </w:pPr>
            <w:r w:rsidRPr="00F36E03">
              <w:rPr>
                <w:rFonts w:ascii="Calibri" w:hAnsi="Calibri"/>
                <w:b/>
                <w:bCs/>
              </w:rPr>
              <w:t xml:space="preserve">Name of regulation / policy </w:t>
            </w:r>
          </w:p>
        </w:tc>
        <w:tc>
          <w:tcPr>
            <w:tcW w:w="2552" w:type="dxa"/>
            <w:shd w:val="pct10" w:color="auto" w:fill="auto"/>
          </w:tcPr>
          <w:p w:rsidR="00000505" w:rsidRPr="00315E1C" w:rsidRDefault="00000505" w:rsidP="00000505">
            <w:pPr>
              <w:spacing w:after="120"/>
              <w:jc w:val="left"/>
              <w:rPr>
                <w:rFonts w:ascii="Calibri" w:hAnsi="Calibri"/>
                <w:b/>
                <w:bCs/>
              </w:rPr>
            </w:pPr>
            <w:r w:rsidRPr="00315E1C">
              <w:rPr>
                <w:rFonts w:ascii="Calibri" w:hAnsi="Calibri"/>
                <w:b/>
                <w:bCs/>
              </w:rPr>
              <w:t>What is it?</w:t>
            </w:r>
          </w:p>
        </w:tc>
        <w:tc>
          <w:tcPr>
            <w:tcW w:w="1276" w:type="dxa"/>
            <w:shd w:val="pct10" w:color="auto" w:fill="auto"/>
          </w:tcPr>
          <w:p w:rsidR="00000505" w:rsidRPr="00315E1C" w:rsidRDefault="00000505" w:rsidP="00000505">
            <w:pPr>
              <w:spacing w:after="120"/>
              <w:jc w:val="left"/>
              <w:rPr>
                <w:rFonts w:ascii="Calibri" w:hAnsi="Calibri"/>
                <w:b/>
                <w:bCs/>
              </w:rPr>
            </w:pPr>
            <w:r w:rsidRPr="00315E1C">
              <w:rPr>
                <w:rFonts w:ascii="Calibri" w:hAnsi="Calibri"/>
                <w:b/>
                <w:bCs/>
              </w:rPr>
              <w:t>Owner</w:t>
            </w:r>
          </w:p>
        </w:tc>
        <w:tc>
          <w:tcPr>
            <w:tcW w:w="4961" w:type="dxa"/>
            <w:shd w:val="pct10" w:color="auto" w:fill="auto"/>
          </w:tcPr>
          <w:p w:rsidR="00000505" w:rsidRPr="00315E1C" w:rsidRDefault="00000505" w:rsidP="00000505">
            <w:pPr>
              <w:spacing w:after="120"/>
              <w:jc w:val="left"/>
              <w:rPr>
                <w:rFonts w:ascii="Calibri" w:hAnsi="Calibri"/>
                <w:b/>
                <w:bCs/>
              </w:rPr>
            </w:pPr>
            <w:r w:rsidRPr="00315E1C">
              <w:rPr>
                <w:rFonts w:ascii="Calibri" w:hAnsi="Calibri"/>
                <w:b/>
                <w:bCs/>
              </w:rPr>
              <w:t>What stage is it at?</w:t>
            </w:r>
          </w:p>
        </w:tc>
        <w:tc>
          <w:tcPr>
            <w:tcW w:w="3544" w:type="dxa"/>
            <w:shd w:val="pct10" w:color="auto" w:fill="auto"/>
          </w:tcPr>
          <w:p w:rsidR="00000505" w:rsidRPr="00315E1C" w:rsidRDefault="00000505" w:rsidP="00000505">
            <w:pPr>
              <w:spacing w:after="120"/>
              <w:jc w:val="left"/>
              <w:rPr>
                <w:rFonts w:ascii="Calibri" w:hAnsi="Calibri"/>
                <w:b/>
                <w:bCs/>
              </w:rPr>
            </w:pPr>
            <w:r w:rsidRPr="00315E1C">
              <w:rPr>
                <w:rFonts w:ascii="Calibri" w:hAnsi="Calibri"/>
                <w:b/>
                <w:bCs/>
              </w:rPr>
              <w:t>Why it matters</w:t>
            </w:r>
          </w:p>
        </w:tc>
      </w:tr>
      <w:tr w:rsidR="00474591" w:rsidRPr="00204E2D" w:rsidTr="00767745">
        <w:tc>
          <w:tcPr>
            <w:tcW w:w="1696" w:type="dxa"/>
            <w:shd w:val="pct12" w:color="auto" w:fill="auto"/>
          </w:tcPr>
          <w:p w:rsidR="00474591" w:rsidRPr="008A08A6" w:rsidRDefault="00474591" w:rsidP="009355D6">
            <w:pPr>
              <w:spacing w:after="120"/>
              <w:jc w:val="left"/>
            </w:pPr>
            <w:r w:rsidRPr="008A08A6">
              <w:t xml:space="preserve">RIIO-ED2 </w:t>
            </w:r>
            <w:r w:rsidR="004F2E6D" w:rsidRPr="004F2E6D">
              <w:rPr>
                <w:highlight w:val="cyan"/>
              </w:rPr>
              <w:t>Price Control Setting</w:t>
            </w:r>
          </w:p>
        </w:tc>
        <w:tc>
          <w:tcPr>
            <w:tcW w:w="2552" w:type="dxa"/>
          </w:tcPr>
          <w:p w:rsidR="00474591" w:rsidRPr="008A08A6" w:rsidRDefault="00474591" w:rsidP="009355D6">
            <w:pPr>
              <w:spacing w:after="120"/>
              <w:jc w:val="left"/>
              <w:rPr>
                <w:rFonts w:ascii="Calibri" w:hAnsi="Calibri"/>
                <w:bCs/>
              </w:rPr>
            </w:pPr>
            <w:r w:rsidRPr="008A08A6">
              <w:rPr>
                <w:rFonts w:ascii="Calibri" w:hAnsi="Calibri"/>
                <w:bCs/>
              </w:rPr>
              <w:t xml:space="preserve">Ofgem’s </w:t>
            </w:r>
            <w:r w:rsidR="004F2E6D">
              <w:rPr>
                <w:rFonts w:ascii="Calibri" w:hAnsi="Calibri"/>
                <w:bCs/>
              </w:rPr>
              <w:t>process of taking our</w:t>
            </w:r>
            <w:r w:rsidRPr="008A08A6">
              <w:rPr>
                <w:rFonts w:ascii="Calibri" w:hAnsi="Calibri"/>
                <w:bCs/>
              </w:rPr>
              <w:t xml:space="preserve"> ED2 Business Plan for Apr-23 to Mar-28</w:t>
            </w:r>
            <w:r w:rsidR="004F2E6D">
              <w:rPr>
                <w:rFonts w:ascii="Calibri" w:hAnsi="Calibri"/>
                <w:bCs/>
              </w:rPr>
              <w:t xml:space="preserve"> and turning it into the regulatory outputs, incentives and allowed revenues we collect.</w:t>
            </w:r>
          </w:p>
        </w:tc>
        <w:tc>
          <w:tcPr>
            <w:tcW w:w="1276" w:type="dxa"/>
          </w:tcPr>
          <w:p w:rsidR="00474591" w:rsidRPr="008A08A6" w:rsidRDefault="00474591" w:rsidP="009355D6">
            <w:pPr>
              <w:spacing w:after="120"/>
              <w:jc w:val="left"/>
              <w:rPr>
                <w:rFonts w:ascii="Calibri" w:hAnsi="Calibri"/>
                <w:bCs/>
              </w:rPr>
            </w:pPr>
            <w:r w:rsidRPr="008A08A6">
              <w:rPr>
                <w:rFonts w:ascii="Calibri" w:hAnsi="Calibri"/>
                <w:bCs/>
              </w:rPr>
              <w:t>Ofgem</w:t>
            </w:r>
          </w:p>
        </w:tc>
        <w:tc>
          <w:tcPr>
            <w:tcW w:w="4961" w:type="dxa"/>
          </w:tcPr>
          <w:p w:rsidR="008A08A6" w:rsidRPr="008A08A6" w:rsidRDefault="008A08A6" w:rsidP="00AC0093">
            <w:pPr>
              <w:rPr>
                <w:b/>
              </w:rPr>
            </w:pPr>
            <w:r w:rsidRPr="0024613A">
              <w:rPr>
                <w:b/>
                <w:highlight w:val="cyan"/>
              </w:rPr>
              <w:t>U</w:t>
            </w:r>
            <w:r w:rsidR="00047320" w:rsidRPr="0024613A">
              <w:rPr>
                <w:b/>
                <w:highlight w:val="cyan"/>
              </w:rPr>
              <w:t>pdate</w:t>
            </w:r>
            <w:r w:rsidR="0024613A">
              <w:rPr>
                <w:b/>
                <w:highlight w:val="cyan"/>
              </w:rPr>
              <w:t xml:space="preserve"> - </w:t>
            </w:r>
            <w:r w:rsidR="0024613A">
              <w:rPr>
                <w:b/>
              </w:rPr>
              <w:t xml:space="preserve"> </w:t>
            </w:r>
            <w:r w:rsidR="001A4C9F">
              <w:rPr>
                <w:b/>
              </w:rPr>
              <w:t>Ofgem issued it</w:t>
            </w:r>
            <w:r w:rsidR="004F2E6D">
              <w:rPr>
                <w:b/>
              </w:rPr>
              <w:t xml:space="preserve">s Draft Determination </w:t>
            </w:r>
            <w:proofErr w:type="gramStart"/>
            <w:r w:rsidR="004F2E6D">
              <w:rPr>
                <w:b/>
              </w:rPr>
              <w:t>at  the</w:t>
            </w:r>
            <w:proofErr w:type="gramEnd"/>
            <w:r w:rsidR="004F2E6D">
              <w:rPr>
                <w:b/>
              </w:rPr>
              <w:t xml:space="preserve"> end of June which </w:t>
            </w:r>
            <w:r w:rsidR="001A4C9F">
              <w:rPr>
                <w:b/>
              </w:rPr>
              <w:t xml:space="preserve">is </w:t>
            </w:r>
            <w:r w:rsidR="004F2E6D">
              <w:rPr>
                <w:b/>
              </w:rPr>
              <w:t xml:space="preserve">available on their website. Stakeholders responded at the end of August and Ofgem is now working through these toward their final decision, </w:t>
            </w:r>
            <w:r w:rsidR="001A4C9F">
              <w:rPr>
                <w:b/>
              </w:rPr>
              <w:t>referred</w:t>
            </w:r>
            <w:bookmarkStart w:id="0" w:name="_GoBack"/>
            <w:bookmarkEnd w:id="0"/>
            <w:r w:rsidR="004F2E6D">
              <w:rPr>
                <w:b/>
              </w:rPr>
              <w:t xml:space="preserve"> to as the “Final Determination” that is currently expected to be published on or shortly after 30 November 2022.</w:t>
            </w:r>
          </w:p>
          <w:p w:rsidR="00474591" w:rsidRPr="008A08A6" w:rsidRDefault="008A08A6" w:rsidP="00AC0093">
            <w:r w:rsidRPr="008A08A6">
              <w:t xml:space="preserve">Jun-22 - </w:t>
            </w:r>
            <w:r w:rsidR="00474591" w:rsidRPr="008A08A6">
              <w:t xml:space="preserve">Ofgem is due to publish its RIIO-ED2 </w:t>
            </w:r>
            <w:r w:rsidR="00767745" w:rsidRPr="008A08A6">
              <w:t>Draft Determinations on 29 June. We understand Ofgem will give all stakeholders an 8 weeks consultation period</w:t>
            </w:r>
            <w:r w:rsidR="00474591" w:rsidRPr="008A08A6">
              <w:t>.</w:t>
            </w:r>
          </w:p>
        </w:tc>
        <w:tc>
          <w:tcPr>
            <w:tcW w:w="3544" w:type="dxa"/>
            <w:vAlign w:val="center"/>
          </w:tcPr>
          <w:p w:rsidR="00474591" w:rsidRPr="008A08A6" w:rsidRDefault="00767745" w:rsidP="009355D6">
            <w:pPr>
              <w:spacing w:after="120"/>
              <w:jc w:val="left"/>
              <w:rPr>
                <w:rFonts w:ascii="Calibri" w:hAnsi="Calibri"/>
                <w:bCs/>
              </w:rPr>
            </w:pPr>
            <w:r w:rsidRPr="008A08A6">
              <w:rPr>
                <w:rFonts w:ascii="Calibri" w:hAnsi="Calibri"/>
                <w:bCs/>
              </w:rPr>
              <w:t xml:space="preserve">Draft determinations precede Ofgem’s final decisions (final determination) on the package of services and funding for these for the 2023 to 2028 period. </w:t>
            </w:r>
            <w:r w:rsidR="004F2E6D">
              <w:rPr>
                <w:rFonts w:ascii="Calibri" w:hAnsi="Calibri"/>
                <w:bCs/>
              </w:rPr>
              <w:t xml:space="preserve">Final Determination are the end of the Ofgem led process setting the outputs and incentives for Electricity North West to deliver between 2023 and 2028, as well as Ofgem’s view of the revenue to collect from consumers. </w:t>
            </w:r>
          </w:p>
        </w:tc>
      </w:tr>
      <w:tr w:rsidR="00481B6B" w:rsidRPr="00204E2D" w:rsidTr="00767745">
        <w:tc>
          <w:tcPr>
            <w:tcW w:w="1696" w:type="dxa"/>
            <w:shd w:val="pct12" w:color="auto" w:fill="auto"/>
          </w:tcPr>
          <w:p w:rsidR="00481B6B" w:rsidRPr="00481B6B" w:rsidRDefault="00481B6B" w:rsidP="009355D6">
            <w:pPr>
              <w:spacing w:after="120"/>
              <w:jc w:val="left"/>
              <w:rPr>
                <w:b/>
              </w:rPr>
            </w:pPr>
            <w:r w:rsidRPr="00481B6B">
              <w:rPr>
                <w:b/>
                <w:highlight w:val="cyan"/>
              </w:rPr>
              <w:t>NEW</w:t>
            </w:r>
            <w:r w:rsidRPr="00481B6B">
              <w:rPr>
                <w:b/>
              </w:rPr>
              <w:t xml:space="preserve"> - P441 'Creation of Complex Site Classes</w:t>
            </w:r>
          </w:p>
        </w:tc>
        <w:tc>
          <w:tcPr>
            <w:tcW w:w="2552" w:type="dxa"/>
          </w:tcPr>
          <w:p w:rsidR="00481B6B" w:rsidRPr="00481B6B" w:rsidRDefault="00481B6B" w:rsidP="009355D6">
            <w:pPr>
              <w:spacing w:after="120"/>
              <w:jc w:val="left"/>
              <w:rPr>
                <w:rFonts w:ascii="Calibri" w:hAnsi="Calibri"/>
                <w:bCs/>
                <w:highlight w:val="cyan"/>
              </w:rPr>
            </w:pPr>
            <w:r w:rsidRPr="00481B6B">
              <w:rPr>
                <w:rFonts w:ascii="Calibri" w:hAnsi="Calibri"/>
                <w:bCs/>
                <w:highlight w:val="cyan"/>
              </w:rPr>
              <w:t xml:space="preserve">Elexon has raised a proposed modification to introduce a change to the Balancing and Settlement </w:t>
            </w:r>
            <w:r w:rsidRPr="00481B6B">
              <w:rPr>
                <w:rFonts w:ascii="Calibri" w:hAnsi="Calibri"/>
                <w:bCs/>
                <w:highlight w:val="cyan"/>
              </w:rPr>
              <w:lastRenderedPageBreak/>
              <w:t>to introduce specific classes of Complex Sites to support the development of local energy schemes.</w:t>
            </w:r>
          </w:p>
        </w:tc>
        <w:tc>
          <w:tcPr>
            <w:tcW w:w="1276" w:type="dxa"/>
          </w:tcPr>
          <w:p w:rsidR="00481B6B" w:rsidRPr="008A08A6" w:rsidRDefault="00481B6B" w:rsidP="009355D6">
            <w:pPr>
              <w:spacing w:after="120"/>
              <w:jc w:val="left"/>
              <w:rPr>
                <w:rFonts w:ascii="Calibri" w:hAnsi="Calibri"/>
                <w:bCs/>
              </w:rPr>
            </w:pPr>
            <w:r>
              <w:rPr>
                <w:rFonts w:ascii="Calibri" w:hAnsi="Calibri"/>
                <w:bCs/>
              </w:rPr>
              <w:lastRenderedPageBreak/>
              <w:t>Elexon</w:t>
            </w:r>
          </w:p>
        </w:tc>
        <w:tc>
          <w:tcPr>
            <w:tcW w:w="4961" w:type="dxa"/>
          </w:tcPr>
          <w:p w:rsidR="00481B6B" w:rsidRPr="000E5DDF" w:rsidRDefault="00481B6B" w:rsidP="00AC0093">
            <w:pPr>
              <w:rPr>
                <w:highlight w:val="cyan"/>
              </w:rPr>
            </w:pPr>
            <w:r w:rsidRPr="000E5DDF">
              <w:rPr>
                <w:highlight w:val="cyan"/>
              </w:rPr>
              <w:t>The change was raised in July and is being developed in a series of working groups. The first took place in August and the second is scheduled for October.</w:t>
            </w:r>
          </w:p>
          <w:p w:rsidR="000E5DDF" w:rsidRPr="000E5DDF" w:rsidRDefault="000E5DDF" w:rsidP="000E5DDF">
            <w:pPr>
              <w:rPr>
                <w:highlight w:val="cyan"/>
              </w:rPr>
            </w:pPr>
            <w:r w:rsidRPr="000E5DDF">
              <w:rPr>
                <w:highlight w:val="cyan"/>
              </w:rPr>
              <w:lastRenderedPageBreak/>
              <w:t xml:space="preserve">The proposed change would be implemented through a document change only, so implementation </w:t>
            </w:r>
          </w:p>
          <w:p w:rsidR="00481B6B" w:rsidRPr="000E5DDF" w:rsidRDefault="000E5DDF" w:rsidP="000E5DDF">
            <w:pPr>
              <w:rPr>
                <w:highlight w:val="cyan"/>
              </w:rPr>
            </w:pPr>
            <w:r w:rsidRPr="000E5DDF">
              <w:rPr>
                <w:highlight w:val="cyan"/>
              </w:rPr>
              <w:t>should be at the next possible BSC release post Ofgem’s final decision (29 June 2023, as part of the June 2023 Standard BSC Release).</w:t>
            </w:r>
          </w:p>
        </w:tc>
        <w:tc>
          <w:tcPr>
            <w:tcW w:w="3544" w:type="dxa"/>
            <w:vAlign w:val="center"/>
          </w:tcPr>
          <w:p w:rsidR="00481B6B" w:rsidRPr="000E5DDF" w:rsidRDefault="000E5DDF" w:rsidP="009355D6">
            <w:pPr>
              <w:spacing w:after="120"/>
              <w:jc w:val="left"/>
              <w:rPr>
                <w:rFonts w:ascii="Calibri" w:hAnsi="Calibri"/>
                <w:bCs/>
                <w:highlight w:val="cyan"/>
              </w:rPr>
            </w:pPr>
            <w:r w:rsidRPr="000E5DDF">
              <w:rPr>
                <w:highlight w:val="cyan"/>
              </w:rPr>
              <w:lastRenderedPageBreak/>
              <w:t xml:space="preserve">P441 would enable consumers to more directly interact with the energy system via Class 5 Complex Sites and associated local energy </w:t>
            </w:r>
            <w:r w:rsidRPr="000E5DDF">
              <w:rPr>
                <w:highlight w:val="cyan"/>
              </w:rPr>
              <w:lastRenderedPageBreak/>
              <w:t>schemes. It would provide a simple means for greater participation and means to reduce bills without investment from consumers - particularly relevant for the fuel poor. It would also enable more income to be retained within local economies.</w:t>
            </w:r>
          </w:p>
        </w:tc>
      </w:tr>
      <w:tr w:rsidR="009355D6" w:rsidRPr="00204E2D" w:rsidTr="00767745">
        <w:tc>
          <w:tcPr>
            <w:tcW w:w="1696" w:type="dxa"/>
            <w:shd w:val="pct12" w:color="auto" w:fill="auto"/>
          </w:tcPr>
          <w:p w:rsidR="009355D6" w:rsidRPr="00F36E03" w:rsidRDefault="001A4C9F" w:rsidP="009355D6">
            <w:pPr>
              <w:spacing w:after="120"/>
              <w:jc w:val="left"/>
              <w:rPr>
                <w:rFonts w:ascii="Calibri" w:hAnsi="Calibri"/>
                <w:b/>
                <w:bCs/>
              </w:rPr>
            </w:pPr>
            <w:hyperlink r:id="rId11" w:history="1">
              <w:r w:rsidR="009355D6" w:rsidRPr="00F36E03">
                <w:rPr>
                  <w:rFonts w:ascii="Calibri" w:hAnsi="Calibri"/>
                  <w:b/>
                  <w:bCs/>
                  <w:u w:val="single"/>
                </w:rPr>
                <w:t xml:space="preserve">Access and </w:t>
              </w:r>
              <w:proofErr w:type="gramStart"/>
              <w:r w:rsidR="009355D6" w:rsidRPr="00F36E03">
                <w:rPr>
                  <w:rFonts w:ascii="Calibri" w:hAnsi="Calibri"/>
                  <w:b/>
                  <w:bCs/>
                  <w:u w:val="single"/>
                </w:rPr>
                <w:t>forward looking</w:t>
              </w:r>
              <w:proofErr w:type="gramEnd"/>
              <w:r w:rsidR="009355D6" w:rsidRPr="00F36E03">
                <w:rPr>
                  <w:rFonts w:ascii="Calibri" w:hAnsi="Calibri"/>
                  <w:b/>
                  <w:bCs/>
                  <w:u w:val="single"/>
                </w:rPr>
                <w:t xml:space="preserve"> charges review</w:t>
              </w:r>
              <w:r w:rsidR="009355D6" w:rsidRPr="00F36E03">
                <w:rPr>
                  <w:rFonts w:ascii="Calibri" w:hAnsi="Calibri"/>
                  <w:b/>
                  <w:bCs/>
                </w:rPr>
                <w:t>: Significant Code Review</w:t>
              </w:r>
            </w:hyperlink>
            <w:r w:rsidR="00586035" w:rsidRPr="00F36E03">
              <w:rPr>
                <w:rFonts w:ascii="Calibri" w:hAnsi="Calibri"/>
                <w:b/>
                <w:bCs/>
              </w:rPr>
              <w:t xml:space="preserve"> (Access SCR)</w:t>
            </w:r>
          </w:p>
        </w:tc>
        <w:tc>
          <w:tcPr>
            <w:tcW w:w="2552" w:type="dxa"/>
          </w:tcPr>
          <w:p w:rsidR="009355D6" w:rsidRPr="00204E2D" w:rsidRDefault="009355D6" w:rsidP="009355D6">
            <w:pPr>
              <w:spacing w:after="120"/>
              <w:jc w:val="left"/>
              <w:rPr>
                <w:rFonts w:ascii="Calibri" w:hAnsi="Calibri"/>
                <w:bCs/>
              </w:rPr>
            </w:pPr>
            <w:r w:rsidRPr="00204E2D">
              <w:rPr>
                <w:rFonts w:ascii="Calibri" w:hAnsi="Calibri"/>
                <w:bCs/>
              </w:rPr>
              <w:t>This is Ofgem’s method to review current working practices and this review will focus on:</w:t>
            </w:r>
          </w:p>
          <w:p w:rsidR="009355D6" w:rsidRPr="00204E2D" w:rsidRDefault="009355D6" w:rsidP="009355D6">
            <w:pPr>
              <w:spacing w:after="120"/>
              <w:jc w:val="left"/>
              <w:rPr>
                <w:rFonts w:ascii="Calibri" w:hAnsi="Calibri"/>
                <w:bCs/>
              </w:rPr>
            </w:pPr>
            <w:r w:rsidRPr="00204E2D">
              <w:rPr>
                <w:rFonts w:ascii="Calibri" w:hAnsi="Calibri"/>
                <w:bCs/>
              </w:rPr>
              <w:t xml:space="preserve"> a review of the definition and choice of access rights for transmission and distribution users</w:t>
            </w:r>
          </w:p>
          <w:p w:rsidR="009355D6" w:rsidRPr="00204E2D" w:rsidRDefault="009355D6" w:rsidP="009355D6">
            <w:pPr>
              <w:spacing w:after="120"/>
              <w:jc w:val="left"/>
              <w:rPr>
                <w:rFonts w:ascii="Calibri" w:hAnsi="Calibri"/>
                <w:bCs/>
              </w:rPr>
            </w:pPr>
            <w:r w:rsidRPr="00204E2D">
              <w:rPr>
                <w:rFonts w:ascii="Calibri" w:hAnsi="Calibri"/>
                <w:bCs/>
              </w:rPr>
              <w:t>a wide-ranging review of distribution network charges (Distribution Use of System (DUoS) charges)</w:t>
            </w:r>
          </w:p>
          <w:p w:rsidR="009355D6" w:rsidRPr="00204E2D" w:rsidRDefault="009355D6" w:rsidP="009355D6">
            <w:pPr>
              <w:spacing w:after="120"/>
              <w:jc w:val="left"/>
              <w:rPr>
                <w:rFonts w:ascii="Calibri" w:hAnsi="Calibri"/>
                <w:bCs/>
              </w:rPr>
            </w:pPr>
            <w:r w:rsidRPr="00204E2D">
              <w:rPr>
                <w:rFonts w:ascii="Calibri" w:hAnsi="Calibri"/>
                <w:bCs/>
              </w:rPr>
              <w:t>a review of the distribution connection charging boundary</w:t>
            </w:r>
          </w:p>
          <w:p w:rsidR="009355D6" w:rsidRPr="00204E2D" w:rsidRDefault="009355D6" w:rsidP="009355D6">
            <w:pPr>
              <w:spacing w:after="120"/>
              <w:jc w:val="left"/>
              <w:rPr>
                <w:rFonts w:ascii="Calibri" w:hAnsi="Calibri"/>
                <w:bCs/>
              </w:rPr>
            </w:pPr>
            <w:r w:rsidRPr="00204E2D">
              <w:rPr>
                <w:rFonts w:ascii="Calibri" w:hAnsi="Calibri"/>
                <w:bCs/>
              </w:rPr>
              <w:t xml:space="preserve">a focused review of transmission network charges (Transmission </w:t>
            </w:r>
            <w:r w:rsidRPr="00204E2D">
              <w:rPr>
                <w:rFonts w:ascii="Calibri" w:hAnsi="Calibri"/>
                <w:bCs/>
              </w:rPr>
              <w:lastRenderedPageBreak/>
              <w:t>Network Use of System (</w:t>
            </w:r>
            <w:proofErr w:type="spellStart"/>
            <w:r w:rsidRPr="00204E2D">
              <w:rPr>
                <w:rFonts w:ascii="Calibri" w:hAnsi="Calibri"/>
                <w:bCs/>
              </w:rPr>
              <w:t>TNUoS</w:t>
            </w:r>
            <w:proofErr w:type="spellEnd"/>
            <w:r w:rsidRPr="00204E2D">
              <w:rPr>
                <w:rFonts w:ascii="Calibri" w:hAnsi="Calibri"/>
                <w:bCs/>
              </w:rPr>
              <w:t>) charges</w:t>
            </w:r>
          </w:p>
          <w:p w:rsidR="009355D6" w:rsidRPr="00204E2D" w:rsidRDefault="009355D6" w:rsidP="009355D6">
            <w:pPr>
              <w:spacing w:after="120"/>
              <w:jc w:val="left"/>
              <w:rPr>
                <w:rFonts w:ascii="Calibri" w:hAnsi="Calibri"/>
                <w:bCs/>
              </w:rPr>
            </w:pPr>
          </w:p>
        </w:tc>
        <w:tc>
          <w:tcPr>
            <w:tcW w:w="1276" w:type="dxa"/>
          </w:tcPr>
          <w:p w:rsidR="009355D6" w:rsidRPr="00204E2D" w:rsidRDefault="009355D6" w:rsidP="009355D6">
            <w:pPr>
              <w:spacing w:after="120"/>
              <w:jc w:val="left"/>
              <w:rPr>
                <w:rFonts w:ascii="Calibri" w:hAnsi="Calibri"/>
                <w:bCs/>
              </w:rPr>
            </w:pPr>
            <w:r w:rsidRPr="00204E2D">
              <w:rPr>
                <w:rFonts w:ascii="Calibri" w:hAnsi="Calibri"/>
                <w:bCs/>
              </w:rPr>
              <w:lastRenderedPageBreak/>
              <w:t>Ofgem</w:t>
            </w:r>
          </w:p>
        </w:tc>
        <w:tc>
          <w:tcPr>
            <w:tcW w:w="4961" w:type="dxa"/>
          </w:tcPr>
          <w:p w:rsidR="008A08A6" w:rsidRDefault="00374FDB" w:rsidP="00374FDB">
            <w:pPr>
              <w:rPr>
                <w:rFonts w:ascii="Calibri" w:hAnsi="Calibri" w:cs="Calibri"/>
                <w:b/>
                <w:bCs/>
                <w:highlight w:val="cyan"/>
              </w:rPr>
            </w:pPr>
            <w:r w:rsidRPr="00655978">
              <w:rPr>
                <w:rFonts w:ascii="Calibri" w:hAnsi="Calibri" w:cs="Calibri"/>
                <w:b/>
                <w:bCs/>
                <w:highlight w:val="cyan"/>
              </w:rPr>
              <w:t>Update</w:t>
            </w:r>
            <w:r w:rsidR="008A08A6">
              <w:rPr>
                <w:rFonts w:ascii="Calibri" w:hAnsi="Calibri" w:cs="Calibri"/>
                <w:b/>
                <w:bCs/>
                <w:highlight w:val="cyan"/>
              </w:rPr>
              <w:t xml:space="preserve"> – </w:t>
            </w:r>
            <w:r w:rsidR="00562EDE">
              <w:rPr>
                <w:rFonts w:ascii="Calibri" w:hAnsi="Calibri" w:cs="Calibri"/>
                <w:b/>
                <w:bCs/>
                <w:highlight w:val="cyan"/>
              </w:rPr>
              <w:t>Working Groups which were set up for the following DCUSA Change Proposals (one for DCPs 404/405 and one for DCPs 406/407) have been meeting on a weekly basis and on 18 August issued their respective consultations with responses due by 5 September:</w:t>
            </w:r>
          </w:p>
          <w:p w:rsidR="00562EDE" w:rsidRPr="00562EDE" w:rsidRDefault="00562EDE" w:rsidP="00562EDE">
            <w:pPr>
              <w:pStyle w:val="ListParagraph"/>
              <w:numPr>
                <w:ilvl w:val="0"/>
                <w:numId w:val="19"/>
              </w:numPr>
              <w:rPr>
                <w:rFonts w:ascii="Calibri" w:hAnsi="Calibri" w:cs="Calibri"/>
                <w:b/>
                <w:bCs/>
                <w:highlight w:val="cyan"/>
              </w:rPr>
            </w:pPr>
            <w:r w:rsidRPr="00562EDE">
              <w:rPr>
                <w:rFonts w:ascii="Calibri" w:hAnsi="Calibri" w:cs="Calibri"/>
                <w:b/>
                <w:bCs/>
                <w:highlight w:val="cyan"/>
              </w:rPr>
              <w:t>DCP 404 Access SCR: Changes to Terms of Connection for Curtailable Customers</w:t>
            </w:r>
          </w:p>
          <w:p w:rsidR="00562EDE" w:rsidRPr="00562EDE" w:rsidRDefault="00562EDE" w:rsidP="00562EDE">
            <w:pPr>
              <w:pStyle w:val="ListParagraph"/>
              <w:numPr>
                <w:ilvl w:val="0"/>
                <w:numId w:val="19"/>
              </w:numPr>
              <w:rPr>
                <w:rFonts w:ascii="Calibri" w:hAnsi="Calibri" w:cs="Calibri"/>
                <w:b/>
                <w:bCs/>
                <w:highlight w:val="cyan"/>
              </w:rPr>
            </w:pPr>
            <w:r w:rsidRPr="00562EDE">
              <w:rPr>
                <w:rFonts w:ascii="Calibri" w:hAnsi="Calibri" w:cs="Calibri"/>
                <w:b/>
                <w:bCs/>
                <w:highlight w:val="cyan"/>
              </w:rPr>
              <w:t>DCP 405 Access SCR: Managing Curtailable Connections Between Licensed Distribution Networks</w:t>
            </w:r>
          </w:p>
          <w:p w:rsidR="00562EDE" w:rsidRPr="00562EDE" w:rsidRDefault="00562EDE" w:rsidP="00562EDE">
            <w:pPr>
              <w:pStyle w:val="ListParagraph"/>
              <w:numPr>
                <w:ilvl w:val="0"/>
                <w:numId w:val="19"/>
              </w:numPr>
              <w:rPr>
                <w:rFonts w:ascii="Calibri" w:hAnsi="Calibri" w:cs="Calibri"/>
                <w:b/>
                <w:bCs/>
                <w:highlight w:val="cyan"/>
              </w:rPr>
            </w:pPr>
            <w:r w:rsidRPr="00562EDE">
              <w:rPr>
                <w:rFonts w:ascii="Calibri" w:hAnsi="Calibri" w:cs="Calibri"/>
                <w:b/>
                <w:bCs/>
                <w:highlight w:val="cyan"/>
              </w:rPr>
              <w:t>DCP 406 Access SCR: Changes to CCCM</w:t>
            </w:r>
          </w:p>
          <w:p w:rsidR="00562EDE" w:rsidRPr="00047320" w:rsidRDefault="00562EDE" w:rsidP="00047320">
            <w:pPr>
              <w:pStyle w:val="ListParagraph"/>
              <w:numPr>
                <w:ilvl w:val="0"/>
                <w:numId w:val="19"/>
              </w:numPr>
              <w:rPr>
                <w:rFonts w:ascii="Calibri" w:hAnsi="Calibri" w:cs="Calibri"/>
                <w:b/>
                <w:bCs/>
                <w:highlight w:val="cyan"/>
              </w:rPr>
            </w:pPr>
            <w:r w:rsidRPr="00562EDE">
              <w:rPr>
                <w:rFonts w:ascii="Calibri" w:hAnsi="Calibri" w:cs="Calibri"/>
                <w:b/>
                <w:bCs/>
                <w:highlight w:val="cyan"/>
              </w:rPr>
              <w:t>DCP 407 Access SCR: Speculative Development</w:t>
            </w:r>
          </w:p>
          <w:p w:rsidR="00374FDB" w:rsidRPr="008A08A6" w:rsidRDefault="008A08A6" w:rsidP="00374FDB">
            <w:pPr>
              <w:rPr>
                <w:rFonts w:ascii="Calibri" w:hAnsi="Calibri" w:cs="Calibri"/>
                <w:bCs/>
              </w:rPr>
            </w:pPr>
            <w:r w:rsidRPr="008A08A6">
              <w:rPr>
                <w:rFonts w:ascii="Calibri" w:hAnsi="Calibri" w:cs="Calibri"/>
                <w:bCs/>
              </w:rPr>
              <w:t xml:space="preserve">Jun-22 - </w:t>
            </w:r>
            <w:r w:rsidR="00655978" w:rsidRPr="008A08A6">
              <w:rPr>
                <w:rFonts w:ascii="Calibri" w:hAnsi="Calibri" w:cs="Calibri"/>
                <w:bCs/>
              </w:rPr>
              <w:t>O</w:t>
            </w:r>
            <w:r w:rsidR="00374FDB" w:rsidRPr="008A08A6">
              <w:rPr>
                <w:rFonts w:ascii="Calibri" w:hAnsi="Calibri" w:cs="Calibri"/>
                <w:bCs/>
              </w:rPr>
              <w:t>n the 3 May 2022 Ofgem issued its Final Decision and Direction on the Access SCR, covering two areas of the original scope:</w:t>
            </w:r>
          </w:p>
          <w:p w:rsidR="00374FDB" w:rsidRPr="008A08A6" w:rsidRDefault="00374FDB" w:rsidP="00374FDB">
            <w:pPr>
              <w:rPr>
                <w:rFonts w:ascii="Calibri" w:hAnsi="Calibri" w:cs="Calibri"/>
                <w:bCs/>
              </w:rPr>
            </w:pPr>
            <w:r w:rsidRPr="008A08A6">
              <w:rPr>
                <w:rFonts w:ascii="Calibri" w:hAnsi="Calibri" w:cs="Calibri"/>
                <w:bCs/>
              </w:rPr>
              <w:t xml:space="preserve">- The distribution connection charging boundary </w:t>
            </w:r>
          </w:p>
          <w:p w:rsidR="00374FDB" w:rsidRPr="008A08A6" w:rsidRDefault="00374FDB" w:rsidP="00374FDB">
            <w:pPr>
              <w:rPr>
                <w:rFonts w:ascii="Calibri" w:hAnsi="Calibri" w:cs="Calibri"/>
                <w:bCs/>
              </w:rPr>
            </w:pPr>
            <w:r w:rsidRPr="008A08A6">
              <w:rPr>
                <w:rFonts w:ascii="Calibri" w:hAnsi="Calibri" w:cs="Calibri"/>
                <w:bCs/>
              </w:rPr>
              <w:t>- The definition and choice of access rights</w:t>
            </w:r>
          </w:p>
          <w:p w:rsidR="00374FDB" w:rsidRPr="008A08A6" w:rsidRDefault="00374FDB" w:rsidP="00374FDB">
            <w:pPr>
              <w:rPr>
                <w:rFonts w:ascii="Calibri" w:hAnsi="Calibri" w:cs="Calibri"/>
                <w:bCs/>
              </w:rPr>
            </w:pPr>
            <w:r w:rsidRPr="008A08A6">
              <w:rPr>
                <w:rFonts w:ascii="Calibri" w:hAnsi="Calibri" w:cs="Calibri"/>
                <w:bCs/>
              </w:rPr>
              <w:lastRenderedPageBreak/>
              <w:t xml:space="preserve">The original SCR scope also included a wide-ranging review of DUoS charges and a focussed review of </w:t>
            </w:r>
            <w:proofErr w:type="spellStart"/>
            <w:r w:rsidRPr="008A08A6">
              <w:rPr>
                <w:rFonts w:ascii="Calibri" w:hAnsi="Calibri" w:cs="Calibri"/>
                <w:bCs/>
              </w:rPr>
              <w:t>TNUoS</w:t>
            </w:r>
            <w:proofErr w:type="spellEnd"/>
            <w:r w:rsidRPr="008A08A6">
              <w:rPr>
                <w:rFonts w:ascii="Calibri" w:hAnsi="Calibri" w:cs="Calibri"/>
                <w:bCs/>
              </w:rPr>
              <w:t xml:space="preserve"> charges. These areas continue to be developed outside Ofgem's final Decision and Direction on the Access SCR.</w:t>
            </w:r>
          </w:p>
          <w:p w:rsidR="00374FDB" w:rsidRPr="008A08A6" w:rsidRDefault="00374FDB" w:rsidP="00374FDB">
            <w:pPr>
              <w:rPr>
                <w:rFonts w:ascii="Calibri" w:hAnsi="Calibri" w:cs="Calibri"/>
                <w:bCs/>
              </w:rPr>
            </w:pPr>
            <w:r w:rsidRPr="008A08A6">
              <w:rPr>
                <w:rFonts w:ascii="Calibri" w:hAnsi="Calibri" w:cs="Calibri"/>
                <w:bCs/>
              </w:rPr>
              <w:t xml:space="preserve">Regarding the distribution connection charging boundary, Ofgem has decided to: </w:t>
            </w:r>
          </w:p>
          <w:p w:rsidR="00374FDB" w:rsidRPr="008A08A6" w:rsidRDefault="00374FDB" w:rsidP="00374FDB">
            <w:pPr>
              <w:pStyle w:val="ListParagraph"/>
              <w:numPr>
                <w:ilvl w:val="0"/>
                <w:numId w:val="17"/>
              </w:numPr>
              <w:rPr>
                <w:rFonts w:ascii="Calibri" w:hAnsi="Calibri" w:cs="Calibri"/>
                <w:bCs/>
              </w:rPr>
            </w:pPr>
            <w:r w:rsidRPr="008A08A6">
              <w:rPr>
                <w:rFonts w:ascii="Calibri" w:hAnsi="Calibri" w:cs="Calibri"/>
                <w:bCs/>
              </w:rPr>
              <w:t xml:space="preserve">Reduce the overall connection charge faced by those connecting to the distribution network </w:t>
            </w:r>
          </w:p>
          <w:p w:rsidR="00374FDB" w:rsidRPr="008A08A6" w:rsidRDefault="00374FDB" w:rsidP="00374FDB">
            <w:pPr>
              <w:pStyle w:val="ListParagraph"/>
              <w:numPr>
                <w:ilvl w:val="0"/>
                <w:numId w:val="17"/>
              </w:numPr>
              <w:rPr>
                <w:rFonts w:ascii="Calibri" w:hAnsi="Calibri" w:cs="Calibri"/>
                <w:bCs/>
              </w:rPr>
            </w:pPr>
            <w:r w:rsidRPr="008A08A6">
              <w:rPr>
                <w:rFonts w:ascii="Calibri" w:hAnsi="Calibri" w:cs="Calibri"/>
                <w:bCs/>
              </w:rPr>
              <w:t>Retain and strengthen existing protections for bill payers</w:t>
            </w:r>
          </w:p>
          <w:p w:rsidR="00374FDB" w:rsidRPr="008A08A6" w:rsidRDefault="00374FDB" w:rsidP="00374FDB">
            <w:pPr>
              <w:rPr>
                <w:rFonts w:ascii="Calibri" w:hAnsi="Calibri" w:cs="Calibri"/>
                <w:bCs/>
              </w:rPr>
            </w:pPr>
            <w:r w:rsidRPr="008A08A6">
              <w:rPr>
                <w:rFonts w:ascii="Calibri" w:hAnsi="Calibri" w:cs="Calibri"/>
                <w:bCs/>
              </w:rPr>
              <w:t xml:space="preserve">Regarding the definition and choice of access rights, Ofgem has decided to: </w:t>
            </w:r>
          </w:p>
          <w:p w:rsidR="00374FDB" w:rsidRPr="008A08A6" w:rsidRDefault="00374FDB" w:rsidP="00374FDB">
            <w:pPr>
              <w:pStyle w:val="ListParagraph"/>
              <w:numPr>
                <w:ilvl w:val="0"/>
                <w:numId w:val="18"/>
              </w:numPr>
              <w:rPr>
                <w:rFonts w:ascii="Calibri" w:hAnsi="Calibri" w:cs="Calibri"/>
                <w:bCs/>
              </w:rPr>
            </w:pPr>
            <w:r w:rsidRPr="008A08A6">
              <w:rPr>
                <w:rFonts w:ascii="Calibri" w:hAnsi="Calibri" w:cs="Calibri"/>
                <w:bCs/>
              </w:rPr>
              <w:t xml:space="preserve">Ensure a standardised non-firm access option is available for larger network users </w:t>
            </w:r>
          </w:p>
          <w:p w:rsidR="00374FDB" w:rsidRPr="008A08A6" w:rsidRDefault="00374FDB" w:rsidP="00374FDB">
            <w:pPr>
              <w:pStyle w:val="ListParagraph"/>
              <w:numPr>
                <w:ilvl w:val="0"/>
                <w:numId w:val="18"/>
              </w:numPr>
              <w:rPr>
                <w:rFonts w:ascii="Calibri" w:hAnsi="Calibri" w:cs="Calibri"/>
                <w:bCs/>
              </w:rPr>
            </w:pPr>
            <w:r w:rsidRPr="008A08A6">
              <w:rPr>
                <w:rFonts w:ascii="Calibri" w:hAnsi="Calibri" w:cs="Calibri"/>
                <w:bCs/>
              </w:rPr>
              <w:t>Introduce clear curtailment limits and end-dates for non-firm access arrangements</w:t>
            </w:r>
          </w:p>
          <w:p w:rsidR="00374FDB" w:rsidRPr="008A08A6" w:rsidRDefault="00374FDB" w:rsidP="00374FDB">
            <w:pPr>
              <w:rPr>
                <w:rFonts w:ascii="Calibri" w:hAnsi="Calibri" w:cs="Calibri"/>
                <w:bCs/>
              </w:rPr>
            </w:pPr>
            <w:r w:rsidRPr="008A08A6">
              <w:rPr>
                <w:rFonts w:ascii="Calibri" w:hAnsi="Calibri" w:cs="Calibri"/>
                <w:bCs/>
              </w:rPr>
              <w:t xml:space="preserve">Alongside the decision, Ofgem published a direction to holders of a distribution licence to raise the requisite change proposals to the DCUSA to give effect to its decision. Consequently, four Access SCR related DCUSA Change Proposals </w:t>
            </w:r>
            <w:r w:rsidR="00655978" w:rsidRPr="008A08A6">
              <w:rPr>
                <w:rFonts w:ascii="Calibri" w:hAnsi="Calibri" w:cs="Calibri"/>
                <w:bCs/>
              </w:rPr>
              <w:t xml:space="preserve">(DCP) </w:t>
            </w:r>
            <w:r w:rsidRPr="008A08A6">
              <w:rPr>
                <w:rFonts w:ascii="Calibri" w:hAnsi="Calibri" w:cs="Calibri"/>
                <w:bCs/>
              </w:rPr>
              <w:t>were raised and then approved by the DCUSA Panel</w:t>
            </w:r>
            <w:r w:rsidR="00655978" w:rsidRPr="008A08A6">
              <w:rPr>
                <w:rFonts w:ascii="Calibri" w:hAnsi="Calibri" w:cs="Calibri"/>
                <w:bCs/>
              </w:rPr>
              <w:t xml:space="preserve">. These will now be </w:t>
            </w:r>
            <w:r w:rsidRPr="008A08A6">
              <w:rPr>
                <w:rFonts w:ascii="Calibri" w:hAnsi="Calibri" w:cs="Calibri"/>
                <w:bCs/>
              </w:rPr>
              <w:t xml:space="preserve">progressed </w:t>
            </w:r>
            <w:r w:rsidR="00655978" w:rsidRPr="008A08A6">
              <w:rPr>
                <w:rFonts w:ascii="Calibri" w:hAnsi="Calibri" w:cs="Calibri"/>
                <w:bCs/>
              </w:rPr>
              <w:t>through Working Groups:</w:t>
            </w:r>
          </w:p>
          <w:p w:rsidR="00374FDB" w:rsidRPr="008A08A6" w:rsidRDefault="00374FDB" w:rsidP="00374FDB">
            <w:pPr>
              <w:pStyle w:val="ListParagraph"/>
              <w:numPr>
                <w:ilvl w:val="0"/>
                <w:numId w:val="19"/>
              </w:numPr>
              <w:rPr>
                <w:rFonts w:ascii="Calibri" w:hAnsi="Calibri" w:cs="Calibri"/>
                <w:bCs/>
              </w:rPr>
            </w:pPr>
            <w:r w:rsidRPr="008A08A6">
              <w:rPr>
                <w:rFonts w:ascii="Calibri" w:hAnsi="Calibri" w:cs="Calibri"/>
                <w:bCs/>
              </w:rPr>
              <w:t>DCP 404 Access SCR: Changes to Terms of Connection for Curtailable Customers</w:t>
            </w:r>
          </w:p>
          <w:p w:rsidR="00374FDB" w:rsidRPr="008A08A6" w:rsidRDefault="00374FDB" w:rsidP="00655978">
            <w:pPr>
              <w:pStyle w:val="ListParagraph"/>
              <w:numPr>
                <w:ilvl w:val="0"/>
                <w:numId w:val="19"/>
              </w:numPr>
              <w:rPr>
                <w:rFonts w:ascii="Calibri" w:hAnsi="Calibri" w:cs="Calibri"/>
                <w:bCs/>
              </w:rPr>
            </w:pPr>
            <w:r w:rsidRPr="008A08A6">
              <w:rPr>
                <w:rFonts w:ascii="Calibri" w:hAnsi="Calibri" w:cs="Calibri"/>
                <w:bCs/>
              </w:rPr>
              <w:lastRenderedPageBreak/>
              <w:t>DCP 405 Access SCR: Managing Curtailable Connections Between Licensed Distribution Networks</w:t>
            </w:r>
          </w:p>
          <w:p w:rsidR="00374FDB" w:rsidRPr="008A08A6" w:rsidRDefault="00374FDB" w:rsidP="00655978">
            <w:pPr>
              <w:pStyle w:val="ListParagraph"/>
              <w:numPr>
                <w:ilvl w:val="0"/>
                <w:numId w:val="19"/>
              </w:numPr>
              <w:rPr>
                <w:rFonts w:ascii="Calibri" w:hAnsi="Calibri" w:cs="Calibri"/>
                <w:bCs/>
              </w:rPr>
            </w:pPr>
            <w:r w:rsidRPr="008A08A6">
              <w:rPr>
                <w:rFonts w:ascii="Calibri" w:hAnsi="Calibri" w:cs="Calibri"/>
                <w:bCs/>
              </w:rPr>
              <w:t>DCP 406 Access SCR: Changes to CCCM</w:t>
            </w:r>
          </w:p>
          <w:p w:rsidR="00374FDB" w:rsidRPr="008A08A6" w:rsidRDefault="00374FDB" w:rsidP="009350A8">
            <w:pPr>
              <w:pStyle w:val="ListParagraph"/>
              <w:numPr>
                <w:ilvl w:val="0"/>
                <w:numId w:val="19"/>
              </w:numPr>
              <w:rPr>
                <w:rFonts w:ascii="Calibri" w:hAnsi="Calibri" w:cs="Calibri"/>
                <w:bCs/>
              </w:rPr>
            </w:pPr>
            <w:r w:rsidRPr="008A08A6">
              <w:rPr>
                <w:rFonts w:ascii="Calibri" w:hAnsi="Calibri" w:cs="Calibri"/>
                <w:bCs/>
              </w:rPr>
              <w:t>DCP 407 Access SCR: Speculative Development</w:t>
            </w:r>
          </w:p>
          <w:p w:rsidR="009350A8" w:rsidRPr="00655978" w:rsidRDefault="00374FDB" w:rsidP="009350A8">
            <w:pPr>
              <w:rPr>
                <w:rFonts w:ascii="Calibri" w:hAnsi="Calibri" w:cs="Calibri"/>
                <w:bCs/>
              </w:rPr>
            </w:pPr>
            <w:r w:rsidRPr="00655978">
              <w:rPr>
                <w:rFonts w:ascii="Calibri" w:hAnsi="Calibri" w:cs="Calibri"/>
                <w:bCs/>
              </w:rPr>
              <w:t>Mar-22</w:t>
            </w:r>
            <w:r w:rsidR="009350A8" w:rsidRPr="00655978">
              <w:rPr>
                <w:rFonts w:ascii="Calibri" w:hAnsi="Calibri" w:cs="Calibri"/>
                <w:bCs/>
              </w:rPr>
              <w:t xml:space="preserve"> – In June 2021, Ofgem consulted on its minded to positions for three key policy areas within the scope of its Access and Forward-looking Charges Significant Code Review: distribution connection charging, the definition and choice of access rights, and transmission charges for small distributed generators. That consultation closed in August 2021. </w:t>
            </w:r>
          </w:p>
          <w:p w:rsidR="009350A8" w:rsidRPr="00655978" w:rsidRDefault="009350A8" w:rsidP="009350A8">
            <w:pPr>
              <w:rPr>
                <w:rFonts w:ascii="Calibri" w:hAnsi="Calibri" w:cs="Calibri"/>
                <w:bCs/>
              </w:rPr>
            </w:pPr>
            <w:r w:rsidRPr="00655978">
              <w:rPr>
                <w:rFonts w:ascii="Calibri" w:hAnsi="Calibri" w:cs="Calibri"/>
                <w:bCs/>
              </w:rPr>
              <w:t xml:space="preserve">Ofgem issued a further consultation on 24 January 2022 setting out updates to its minded to positions that respond to the feedback it received. It reaffirms the high-level proposals Ofgem put forward for distribution connection charging and access rights, offering opportunity to comment on additional details and clarifications. It also outlines that Ofgem no longer intends to direct changes to transmission network use of system charges under the Access SCR, including the application of these charges to small distributed generators. </w:t>
            </w:r>
            <w:r w:rsidR="002E4FC7" w:rsidRPr="00655978">
              <w:rPr>
                <w:rFonts w:ascii="Calibri" w:hAnsi="Calibri" w:cs="Calibri"/>
                <w:bCs/>
              </w:rPr>
              <w:t>The deadline for responses was 22</w:t>
            </w:r>
            <w:r w:rsidRPr="00655978">
              <w:rPr>
                <w:rFonts w:ascii="Calibri" w:hAnsi="Calibri" w:cs="Calibri"/>
                <w:bCs/>
              </w:rPr>
              <w:t xml:space="preserve"> February 2022.</w:t>
            </w:r>
          </w:p>
          <w:p w:rsidR="009355D6" w:rsidRPr="00655978" w:rsidRDefault="009350A8" w:rsidP="009355D6">
            <w:pPr>
              <w:rPr>
                <w:rFonts w:ascii="Calibri" w:hAnsi="Calibri" w:cs="Calibri"/>
              </w:rPr>
            </w:pPr>
            <w:r w:rsidRPr="00655978">
              <w:rPr>
                <w:rFonts w:ascii="Calibri" w:hAnsi="Calibri" w:cs="Calibri"/>
                <w:bCs/>
              </w:rPr>
              <w:t>Dec-21</w:t>
            </w:r>
            <w:r w:rsidR="009355D6" w:rsidRPr="00655978">
              <w:rPr>
                <w:rFonts w:ascii="Calibri" w:hAnsi="Calibri" w:cs="Calibri"/>
                <w:bCs/>
              </w:rPr>
              <w:t xml:space="preserve"> – Ofgem issued </w:t>
            </w:r>
            <w:r w:rsidR="009355D6" w:rsidRPr="00655978">
              <w:rPr>
                <w:rFonts w:ascii="Calibri" w:hAnsi="Calibri" w:cs="Calibri"/>
              </w:rPr>
              <w:t xml:space="preserve">its </w:t>
            </w:r>
            <w:hyperlink r:id="rId12" w:history="1">
              <w:r w:rsidR="009355D6" w:rsidRPr="00655978">
                <w:rPr>
                  <w:rStyle w:val="Hyperlink"/>
                  <w:rFonts w:ascii="Calibri" w:hAnsi="Calibri" w:cs="Calibri"/>
                  <w:i/>
                  <w:color w:val="auto"/>
                  <w:u w:val="none"/>
                </w:rPr>
                <w:t>Consultation on our proposal to take forward the reform of Distribution Use of System charges under a separate Significant Code Review on revised timescales</w:t>
              </w:r>
              <w:r w:rsidR="009355D6" w:rsidRPr="00655978">
                <w:rPr>
                  <w:rStyle w:val="Hyperlink"/>
                  <w:rFonts w:ascii="Calibri" w:hAnsi="Calibri" w:cs="Calibri"/>
                  <w:color w:val="B13C19"/>
                  <w:u w:val="none"/>
                </w:rPr>
                <w:t xml:space="preserve"> </w:t>
              </w:r>
            </w:hyperlink>
            <w:r w:rsidR="009355D6" w:rsidRPr="00655978">
              <w:rPr>
                <w:rFonts w:ascii="Calibri" w:hAnsi="Calibri" w:cs="Calibri"/>
              </w:rPr>
              <w:t xml:space="preserve">on 1 November 2021 with responses due by 6 December 2021, which </w:t>
            </w:r>
            <w:r w:rsidR="009355D6" w:rsidRPr="00655978">
              <w:rPr>
                <w:rFonts w:ascii="Calibri" w:hAnsi="Calibri" w:cs="Calibri"/>
              </w:rPr>
              <w:lastRenderedPageBreak/>
              <w:t xml:space="preserve">would descope the review of DUoS charges from the Access SCR. </w:t>
            </w:r>
          </w:p>
          <w:p w:rsidR="009355D6" w:rsidRPr="00655978" w:rsidRDefault="009355D6" w:rsidP="009355D6">
            <w:pPr>
              <w:autoSpaceDE w:val="0"/>
              <w:autoSpaceDN w:val="0"/>
              <w:adjustRightInd w:val="0"/>
              <w:spacing w:before="0" w:after="0"/>
              <w:jc w:val="left"/>
              <w:rPr>
                <w:rFonts w:ascii="Calibri" w:hAnsi="Calibri" w:cs="Calibri"/>
                <w:color w:val="000000"/>
              </w:rPr>
            </w:pPr>
            <w:r w:rsidRPr="00655978">
              <w:rPr>
                <w:rFonts w:ascii="Calibri" w:hAnsi="Calibri" w:cs="Calibri"/>
                <w:color w:val="000000"/>
              </w:rPr>
              <w:t xml:space="preserve">The reform of Distribution Use of System Charges would include but not be limited to the following issues: </w:t>
            </w:r>
          </w:p>
          <w:p w:rsidR="009355D6" w:rsidRPr="00655978" w:rsidRDefault="009355D6" w:rsidP="009355D6">
            <w:pPr>
              <w:autoSpaceDE w:val="0"/>
              <w:autoSpaceDN w:val="0"/>
              <w:adjustRightInd w:val="0"/>
              <w:spacing w:before="0" w:after="141"/>
              <w:jc w:val="left"/>
              <w:rPr>
                <w:rFonts w:ascii="Calibri" w:hAnsi="Calibri" w:cs="Calibri"/>
                <w:color w:val="000000"/>
              </w:rPr>
            </w:pPr>
            <w:r w:rsidRPr="00655978">
              <w:rPr>
                <w:rFonts w:ascii="Calibri" w:hAnsi="Calibri" w:cs="Calibri"/>
                <w:color w:val="000000"/>
              </w:rPr>
              <w:t xml:space="preserve">- A review of the charging methodologies for Extra-High Voltage (EHV), as well as High Voltage/Low Voltage (HV/LV)10 </w:t>
            </w:r>
          </w:p>
          <w:p w:rsidR="009355D6" w:rsidRPr="00655978" w:rsidRDefault="009355D6" w:rsidP="009355D6">
            <w:pPr>
              <w:autoSpaceDE w:val="0"/>
              <w:autoSpaceDN w:val="0"/>
              <w:adjustRightInd w:val="0"/>
              <w:spacing w:before="0" w:after="141"/>
              <w:jc w:val="left"/>
              <w:rPr>
                <w:rFonts w:ascii="Calibri" w:hAnsi="Calibri" w:cs="Calibri"/>
                <w:color w:val="000000"/>
              </w:rPr>
            </w:pPr>
            <w:r w:rsidRPr="00655978">
              <w:rPr>
                <w:rFonts w:ascii="Calibri" w:hAnsi="Calibri" w:cs="Calibri"/>
                <w:color w:val="000000"/>
              </w:rPr>
              <w:t xml:space="preserve">- The balance between usage-based and capacity-based charges, as well as charges that could vary by time-of-use </w:t>
            </w:r>
          </w:p>
          <w:p w:rsidR="009355D6" w:rsidRPr="00655978" w:rsidRDefault="009355D6" w:rsidP="009355D6">
            <w:pPr>
              <w:autoSpaceDE w:val="0"/>
              <w:autoSpaceDN w:val="0"/>
              <w:adjustRightInd w:val="0"/>
              <w:spacing w:before="0" w:after="141"/>
              <w:jc w:val="left"/>
              <w:rPr>
                <w:rFonts w:ascii="Calibri" w:hAnsi="Calibri" w:cs="Calibri"/>
                <w:color w:val="000000"/>
              </w:rPr>
            </w:pPr>
            <w:r w:rsidRPr="00655978">
              <w:rPr>
                <w:rFonts w:ascii="Calibri" w:hAnsi="Calibri" w:cs="Calibri"/>
                <w:color w:val="000000"/>
              </w:rPr>
              <w:t xml:space="preserve">- Improvements to signals about how network costs and benefits vary by location </w:t>
            </w:r>
          </w:p>
          <w:p w:rsidR="009355D6" w:rsidRPr="00655978" w:rsidRDefault="009355D6" w:rsidP="009355D6">
            <w:pPr>
              <w:autoSpaceDE w:val="0"/>
              <w:autoSpaceDN w:val="0"/>
              <w:adjustRightInd w:val="0"/>
              <w:spacing w:before="0" w:after="141"/>
              <w:jc w:val="left"/>
              <w:rPr>
                <w:rFonts w:ascii="Calibri" w:hAnsi="Calibri" w:cs="Calibri"/>
                <w:color w:val="000000"/>
              </w:rPr>
            </w:pPr>
            <w:r w:rsidRPr="00655978">
              <w:rPr>
                <w:rFonts w:ascii="Calibri" w:hAnsi="Calibri" w:cs="Calibri"/>
                <w:color w:val="000000"/>
              </w:rPr>
              <w:t xml:space="preserve">- Improved predictability of charges for EHV users </w:t>
            </w:r>
          </w:p>
          <w:p w:rsidR="009355D6" w:rsidRPr="00655978" w:rsidRDefault="009355D6" w:rsidP="009350A8">
            <w:pPr>
              <w:autoSpaceDE w:val="0"/>
              <w:autoSpaceDN w:val="0"/>
              <w:adjustRightInd w:val="0"/>
              <w:spacing w:before="0" w:after="0"/>
              <w:jc w:val="left"/>
              <w:rPr>
                <w:rFonts w:ascii="Calibri" w:hAnsi="Calibri" w:cs="Calibri"/>
                <w:color w:val="000000"/>
              </w:rPr>
            </w:pPr>
            <w:r w:rsidRPr="00655978">
              <w:rPr>
                <w:rFonts w:ascii="Calibri" w:hAnsi="Calibri" w:cs="Calibri"/>
                <w:color w:val="000000"/>
              </w:rPr>
              <w:t xml:space="preserve">- The potential need for mitigating measures such as a basic charging threshold to protect small users (and vulnerable customers) from sharper charging signals </w:t>
            </w:r>
          </w:p>
          <w:p w:rsidR="009355D6" w:rsidRPr="00655978" w:rsidRDefault="009355D6" w:rsidP="009355D6">
            <w:pPr>
              <w:spacing w:after="120"/>
              <w:jc w:val="left"/>
              <w:rPr>
                <w:rFonts w:ascii="Calibri" w:hAnsi="Calibri"/>
                <w:bCs/>
              </w:rPr>
            </w:pPr>
            <w:r w:rsidRPr="00655978">
              <w:rPr>
                <w:rFonts w:ascii="Calibri" w:hAnsi="Calibri"/>
                <w:bCs/>
              </w:rPr>
              <w:t>Sep-21 – Ofgem issued a consultation on its minded to positions for three key areas of its Access and Forward-looking Charges Significant Code review: distribution connection charging, the definition and choice of access rights, and transmission charges for small distributed generators. The deadline for responses: 27 August 2021.</w:t>
            </w:r>
          </w:p>
          <w:p w:rsidR="009355D6" w:rsidRPr="00655978" w:rsidDel="00212A53" w:rsidRDefault="009355D6" w:rsidP="009355D6">
            <w:pPr>
              <w:spacing w:after="120"/>
              <w:jc w:val="left"/>
              <w:rPr>
                <w:rFonts w:ascii="Calibri" w:hAnsi="Calibri"/>
                <w:bCs/>
              </w:rPr>
            </w:pPr>
            <w:r w:rsidRPr="00655978">
              <w:rPr>
                <w:rFonts w:ascii="Calibri" w:hAnsi="Calibri"/>
                <w:bCs/>
              </w:rPr>
              <w:t>June-21</w:t>
            </w:r>
            <w:r w:rsidRPr="00655978" w:rsidDel="00212A53">
              <w:rPr>
                <w:rFonts w:ascii="Calibri" w:hAnsi="Calibri"/>
                <w:bCs/>
              </w:rPr>
              <w:t xml:space="preserve"> Ofgem issued a consultation on its minded to positions for three key areas of its Access and Forward-looking Charges Significant Code review: </w:t>
            </w:r>
            <w:r w:rsidRPr="00655978" w:rsidDel="00212A53">
              <w:rPr>
                <w:rFonts w:ascii="Calibri" w:hAnsi="Calibri"/>
                <w:bCs/>
              </w:rPr>
              <w:lastRenderedPageBreak/>
              <w:t>distribution connection charging, the definition and choice of access rights, and transmission charges for small, distributed generators. The deadline for responses: 27 August 2021.</w:t>
            </w:r>
          </w:p>
          <w:p w:rsidR="009355D6" w:rsidRPr="00655978" w:rsidRDefault="009355D6" w:rsidP="009355D6">
            <w:pPr>
              <w:spacing w:after="120"/>
              <w:jc w:val="left"/>
              <w:rPr>
                <w:rFonts w:eastAsia="Times New Roman"/>
                <w:b/>
              </w:rPr>
            </w:pPr>
            <w:r w:rsidRPr="00655978">
              <w:rPr>
                <w:rFonts w:ascii="Calibri" w:hAnsi="Calibri"/>
                <w:bCs/>
              </w:rPr>
              <w:t>Jun-21 - From a Distributors perspective this Significant Code Review is on hold until Apr/May 2021 while Ofgem carries out further work with a view to</w:t>
            </w:r>
            <w:r w:rsidRPr="00655978">
              <w:rPr>
                <w:rFonts w:eastAsia="Times New Roman"/>
                <w:bCs/>
              </w:rPr>
              <w:t xml:space="preserve"> reassess the options being considered for Distribution Use of System (DUoS) and Transmission Network Use of System (</w:t>
            </w:r>
            <w:proofErr w:type="spellStart"/>
            <w:r w:rsidRPr="00655978">
              <w:rPr>
                <w:rFonts w:eastAsia="Times New Roman"/>
                <w:bCs/>
              </w:rPr>
              <w:t>TNUoS</w:t>
            </w:r>
            <w:proofErr w:type="spellEnd"/>
            <w:r w:rsidRPr="00655978">
              <w:rPr>
                <w:rFonts w:eastAsia="Times New Roman"/>
                <w:bCs/>
              </w:rPr>
              <w:t>) charging, recognising that delays put the April 2023 implementation date at risk. This could result in a phased implementation approach being taken for elements of this Significant Code Review. Ofgem may issue a “minded too” consultation on their proposals for distribution connection charging reform before the summer break. It is likely that Ofgem will give a general update on their latest thinking when this document comes out. Ofgem’s</w:t>
            </w:r>
            <w:r w:rsidRPr="00655978">
              <w:rPr>
                <w:rFonts w:eastAsia="Times New Roman"/>
              </w:rPr>
              <w:t xml:space="preserve"> proposals on distribution use of system charges (DUoS) are expected to follow on subsequently</w:t>
            </w:r>
            <w:r w:rsidRPr="00655978">
              <w:rPr>
                <w:rFonts w:eastAsia="Times New Roman"/>
                <w:b/>
              </w:rPr>
              <w:t xml:space="preserve">.  </w:t>
            </w:r>
          </w:p>
          <w:p w:rsidR="009355D6" w:rsidRPr="00655978" w:rsidRDefault="009355D6" w:rsidP="009355D6">
            <w:pPr>
              <w:spacing w:after="120"/>
              <w:jc w:val="left"/>
              <w:rPr>
                <w:rFonts w:ascii="Calibri" w:hAnsi="Calibri"/>
                <w:bCs/>
              </w:rPr>
            </w:pPr>
            <w:r w:rsidRPr="00655978">
              <w:rPr>
                <w:rFonts w:ascii="Calibri" w:hAnsi="Calibri"/>
                <w:bCs/>
              </w:rPr>
              <w:t>Jan-21 – Responses were provided to the request for information and Ofgem had been planning to publish its</w:t>
            </w:r>
            <w:r w:rsidRPr="00655978">
              <w:rPr>
                <w:rFonts w:ascii="Calibri" w:hAnsi="Calibri"/>
                <w:b/>
                <w:bCs/>
              </w:rPr>
              <w:t xml:space="preserve"> </w:t>
            </w:r>
            <w:r w:rsidRPr="00655978">
              <w:rPr>
                <w:rFonts w:ascii="Calibri" w:hAnsi="Calibri"/>
                <w:bCs/>
              </w:rPr>
              <w:t>minded to proposals for consultation by the end of this year but has now decided to push this back into 2021.</w:t>
            </w:r>
          </w:p>
          <w:p w:rsidR="009355D6" w:rsidRPr="00655978" w:rsidRDefault="009355D6" w:rsidP="009355D6">
            <w:pPr>
              <w:spacing w:after="120"/>
              <w:jc w:val="left"/>
              <w:rPr>
                <w:rFonts w:ascii="Calibri" w:hAnsi="Calibri"/>
                <w:bCs/>
              </w:rPr>
            </w:pPr>
            <w:r w:rsidRPr="00655978">
              <w:rPr>
                <w:rFonts w:ascii="Calibri" w:hAnsi="Calibri"/>
                <w:bCs/>
              </w:rPr>
              <w:t xml:space="preserve">This has an impact on development of the initial RIIO-ED2 business plan and Ofgem is considering </w:t>
            </w:r>
            <w:proofErr w:type="gramStart"/>
            <w:r w:rsidRPr="00655978">
              <w:rPr>
                <w:rFonts w:ascii="Calibri" w:hAnsi="Calibri"/>
                <w:bCs/>
              </w:rPr>
              <w:t>in particular how</w:t>
            </w:r>
            <w:proofErr w:type="gramEnd"/>
            <w:r w:rsidRPr="00655978">
              <w:rPr>
                <w:rFonts w:ascii="Calibri" w:hAnsi="Calibri"/>
                <w:bCs/>
              </w:rPr>
              <w:t xml:space="preserve"> impacts could be managed through re-openers or uncertainty mechanisms. </w:t>
            </w:r>
          </w:p>
          <w:p w:rsidR="009355D6" w:rsidRPr="00655978" w:rsidRDefault="009355D6" w:rsidP="009355D6">
            <w:pPr>
              <w:spacing w:after="120"/>
              <w:jc w:val="left"/>
              <w:rPr>
                <w:rFonts w:ascii="Calibri" w:hAnsi="Calibri"/>
                <w:bCs/>
              </w:rPr>
            </w:pPr>
            <w:r w:rsidRPr="00655978">
              <w:rPr>
                <w:rFonts w:ascii="Calibri" w:hAnsi="Calibri"/>
                <w:bCs/>
              </w:rPr>
              <w:lastRenderedPageBreak/>
              <w:t>The key reasons for the Ofgem delay are to explore the links with the development of flexibility markets and to have a clear overall vision for how flexibility will be valued. They are gearing up their work on developing this vision – working with BEIS – and think there is value in holding off issuing their minded to proposals on access until it is clearer. In addition, Ofgem think there is a need to consider wider issues that have arisen with aspects of electricity transmission charging.</w:t>
            </w:r>
          </w:p>
          <w:p w:rsidR="009355D6" w:rsidRPr="00655978" w:rsidRDefault="009355D6" w:rsidP="009355D6">
            <w:pPr>
              <w:spacing w:after="120"/>
              <w:jc w:val="left"/>
              <w:rPr>
                <w:rFonts w:ascii="Calibri" w:hAnsi="Calibri"/>
                <w:bCs/>
              </w:rPr>
            </w:pPr>
            <w:r w:rsidRPr="00655978">
              <w:rPr>
                <w:rFonts w:ascii="Calibri" w:hAnsi="Calibri"/>
                <w:bCs/>
              </w:rPr>
              <w:t>Ofgem issued a request for information seeking to understand the potential implementation costs associated with the policy reform options being considered. Responses due by 14 August.</w:t>
            </w:r>
          </w:p>
          <w:p w:rsidR="009355D6" w:rsidRPr="00655978" w:rsidRDefault="009355D6" w:rsidP="009355D6">
            <w:pPr>
              <w:spacing w:after="120"/>
              <w:jc w:val="left"/>
              <w:rPr>
                <w:rFonts w:ascii="Calibri" w:hAnsi="Calibri"/>
                <w:bCs/>
              </w:rPr>
            </w:pPr>
            <w:r w:rsidRPr="00655978">
              <w:rPr>
                <w:rFonts w:ascii="Calibri" w:hAnsi="Calibri"/>
                <w:bCs/>
              </w:rPr>
              <w:t>The Delivery Group met in Jun-20 with Ofgem confirming that timings would be broadly the same with an Ofgem consultation on options happening around Nov-20 with a final decision being made in Spring 2021. Ofgem expects to provide a decision on any code modifications by the Spring of 2022 for implementation in Apr-23. As the timescales could prove to be tight there is consideration being given to whether a delay would be appropriate, but this would mean implementing during ED2 and would affect Business Planning submissions and prolongs the uncertainty of the access and forward looking charging regime for stakeholders.</w:t>
            </w:r>
          </w:p>
          <w:p w:rsidR="009355D6" w:rsidRPr="00655978" w:rsidRDefault="009355D6" w:rsidP="009355D6">
            <w:pPr>
              <w:spacing w:after="120"/>
              <w:jc w:val="left"/>
              <w:rPr>
                <w:rFonts w:ascii="Calibri" w:hAnsi="Calibri"/>
                <w:bCs/>
              </w:rPr>
            </w:pPr>
            <w:r w:rsidRPr="00655978">
              <w:rPr>
                <w:rFonts w:ascii="Calibri" w:hAnsi="Calibri"/>
                <w:bCs/>
              </w:rPr>
              <w:lastRenderedPageBreak/>
              <w:t>Ofgem presented its latest thinking on shortlisting options and advised that the guiding principles when assessing the options were:</w:t>
            </w:r>
          </w:p>
          <w:p w:rsidR="009355D6" w:rsidRPr="00655978" w:rsidRDefault="009355D6" w:rsidP="009355D6">
            <w:pPr>
              <w:pStyle w:val="ListParagraph"/>
              <w:numPr>
                <w:ilvl w:val="0"/>
                <w:numId w:val="8"/>
              </w:numPr>
              <w:spacing w:after="120"/>
              <w:jc w:val="left"/>
              <w:rPr>
                <w:rFonts w:ascii="Calibri" w:hAnsi="Calibri"/>
                <w:bCs/>
              </w:rPr>
            </w:pPr>
            <w:r w:rsidRPr="00655978">
              <w:rPr>
                <w:rFonts w:ascii="Calibri" w:hAnsi="Calibri"/>
                <w:bCs/>
              </w:rPr>
              <w:t xml:space="preserve">Arrangements support efficient use and development of system capacity. A key part of the assessment against </w:t>
            </w:r>
            <w:proofErr w:type="gramStart"/>
            <w:r w:rsidRPr="00655978">
              <w:rPr>
                <w:rFonts w:ascii="Calibri" w:hAnsi="Calibri"/>
                <w:bCs/>
              </w:rPr>
              <w:t>this criteria</w:t>
            </w:r>
            <w:proofErr w:type="gramEnd"/>
            <w:r w:rsidRPr="00655978">
              <w:rPr>
                <w:rFonts w:ascii="Calibri" w:hAnsi="Calibri"/>
                <w:bCs/>
              </w:rPr>
              <w:t xml:space="preserve"> will be the extent to which the arrangements support decarbonisation at least cost to consumers.</w:t>
            </w:r>
          </w:p>
          <w:p w:rsidR="009355D6" w:rsidRPr="00655978" w:rsidRDefault="009355D6" w:rsidP="009355D6">
            <w:pPr>
              <w:pStyle w:val="ListParagraph"/>
              <w:numPr>
                <w:ilvl w:val="0"/>
                <w:numId w:val="8"/>
              </w:numPr>
              <w:spacing w:after="120"/>
              <w:jc w:val="left"/>
              <w:rPr>
                <w:rFonts w:ascii="Calibri" w:hAnsi="Calibri"/>
                <w:bCs/>
              </w:rPr>
            </w:pPr>
            <w:r w:rsidRPr="00655978">
              <w:rPr>
                <w:rFonts w:ascii="Calibri" w:hAnsi="Calibri"/>
                <w:bCs/>
              </w:rPr>
              <w:t>Arrangements reflect the needs of consumers as appropriate for an essential service.</w:t>
            </w:r>
          </w:p>
          <w:p w:rsidR="009355D6" w:rsidRPr="00655978" w:rsidRDefault="009355D6" w:rsidP="009355D6">
            <w:pPr>
              <w:pStyle w:val="ListParagraph"/>
              <w:numPr>
                <w:ilvl w:val="0"/>
                <w:numId w:val="8"/>
              </w:numPr>
              <w:spacing w:after="120"/>
              <w:jc w:val="left"/>
              <w:rPr>
                <w:rFonts w:ascii="Calibri" w:hAnsi="Calibri"/>
                <w:bCs/>
              </w:rPr>
            </w:pPr>
            <w:r w:rsidRPr="00655978">
              <w:rPr>
                <w:rFonts w:ascii="Calibri" w:hAnsi="Calibri"/>
                <w:bCs/>
              </w:rPr>
              <w:t>Any changes are practical and proportionate.</w:t>
            </w:r>
          </w:p>
          <w:p w:rsidR="009355D6" w:rsidRPr="00655978" w:rsidRDefault="009355D6" w:rsidP="009355D6">
            <w:pPr>
              <w:pStyle w:val="Default"/>
              <w:rPr>
                <w:rFonts w:ascii="Calibri" w:hAnsi="Calibri" w:cstheme="minorBidi"/>
                <w:bCs/>
                <w:color w:val="auto"/>
                <w:sz w:val="22"/>
                <w:szCs w:val="22"/>
              </w:rPr>
            </w:pPr>
            <w:r w:rsidRPr="00655978">
              <w:rPr>
                <w:rFonts w:ascii="Calibri" w:hAnsi="Calibri" w:cstheme="minorBidi"/>
                <w:bCs/>
                <w:color w:val="auto"/>
                <w:sz w:val="22"/>
                <w:szCs w:val="22"/>
              </w:rPr>
              <w:t>The options being taken forward are:</w:t>
            </w:r>
          </w:p>
          <w:p w:rsidR="009355D6" w:rsidRPr="00655978" w:rsidRDefault="009355D6" w:rsidP="009355D6">
            <w:pPr>
              <w:pStyle w:val="Default"/>
              <w:rPr>
                <w:rFonts w:ascii="Calibri" w:hAnsi="Calibri" w:cstheme="minorBidi"/>
                <w:b/>
                <w:bCs/>
                <w:color w:val="auto"/>
                <w:sz w:val="22"/>
                <w:szCs w:val="22"/>
              </w:rPr>
            </w:pPr>
          </w:p>
          <w:p w:rsidR="009355D6" w:rsidRPr="00655978" w:rsidRDefault="009355D6" w:rsidP="009355D6">
            <w:pPr>
              <w:pStyle w:val="Default"/>
              <w:numPr>
                <w:ilvl w:val="0"/>
                <w:numId w:val="9"/>
              </w:numPr>
              <w:rPr>
                <w:rFonts w:ascii="Calibri" w:hAnsi="Calibri" w:cstheme="minorBidi"/>
                <w:bCs/>
                <w:color w:val="auto"/>
                <w:sz w:val="22"/>
                <w:szCs w:val="22"/>
              </w:rPr>
            </w:pPr>
            <w:r w:rsidRPr="00655978">
              <w:rPr>
                <w:rFonts w:ascii="Calibri" w:hAnsi="Calibri" w:cstheme="minorBidi"/>
                <w:bCs/>
                <w:color w:val="auto"/>
                <w:sz w:val="22"/>
                <w:szCs w:val="22"/>
              </w:rPr>
              <w:t>Improving the definition and choice of access rights</w:t>
            </w:r>
          </w:p>
          <w:p w:rsidR="009355D6" w:rsidRPr="00655978" w:rsidRDefault="009355D6" w:rsidP="009355D6">
            <w:pPr>
              <w:pStyle w:val="Default"/>
              <w:numPr>
                <w:ilvl w:val="0"/>
                <w:numId w:val="9"/>
              </w:numPr>
              <w:rPr>
                <w:rFonts w:ascii="Calibri" w:hAnsi="Calibri" w:cstheme="minorBidi"/>
                <w:bCs/>
                <w:color w:val="auto"/>
                <w:sz w:val="22"/>
                <w:szCs w:val="22"/>
              </w:rPr>
            </w:pPr>
            <w:r w:rsidRPr="00655978">
              <w:rPr>
                <w:rFonts w:ascii="Calibri" w:hAnsi="Calibri" w:cstheme="minorBidi"/>
                <w:bCs/>
                <w:color w:val="auto"/>
                <w:sz w:val="22"/>
                <w:szCs w:val="22"/>
              </w:rPr>
              <w:t>Potential reforms of the upfront charges for connecting to the distribution networks</w:t>
            </w:r>
          </w:p>
          <w:p w:rsidR="009355D6" w:rsidRPr="00655978" w:rsidRDefault="009355D6" w:rsidP="009355D6">
            <w:pPr>
              <w:pStyle w:val="Default"/>
              <w:numPr>
                <w:ilvl w:val="0"/>
                <w:numId w:val="9"/>
              </w:numPr>
              <w:rPr>
                <w:rFonts w:ascii="Calibri" w:hAnsi="Calibri" w:cstheme="minorBidi"/>
                <w:bCs/>
                <w:color w:val="auto"/>
                <w:sz w:val="22"/>
                <w:szCs w:val="22"/>
              </w:rPr>
            </w:pPr>
            <w:r w:rsidRPr="00655978">
              <w:rPr>
                <w:rFonts w:ascii="Calibri" w:hAnsi="Calibri" w:cstheme="minorBidi"/>
                <w:bCs/>
                <w:color w:val="auto"/>
                <w:sz w:val="22"/>
                <w:szCs w:val="22"/>
              </w:rPr>
              <w:t>Methodology for the network cost models used to set Distribution Use of System (DUoS) charges</w:t>
            </w:r>
          </w:p>
          <w:p w:rsidR="009355D6" w:rsidRPr="00655978" w:rsidRDefault="009355D6" w:rsidP="009355D6">
            <w:pPr>
              <w:pStyle w:val="Default"/>
              <w:numPr>
                <w:ilvl w:val="0"/>
                <w:numId w:val="9"/>
              </w:numPr>
              <w:rPr>
                <w:rFonts w:ascii="Calibri" w:hAnsi="Calibri" w:cstheme="minorBidi"/>
                <w:bCs/>
                <w:color w:val="auto"/>
                <w:sz w:val="22"/>
                <w:szCs w:val="22"/>
              </w:rPr>
            </w:pPr>
            <w:r w:rsidRPr="00655978">
              <w:rPr>
                <w:rFonts w:ascii="Calibri" w:hAnsi="Calibri" w:cstheme="minorBidi"/>
                <w:bCs/>
                <w:color w:val="auto"/>
                <w:sz w:val="22"/>
                <w:szCs w:val="22"/>
              </w:rPr>
              <w:t>Extent of locational granularity</w:t>
            </w:r>
          </w:p>
          <w:p w:rsidR="009355D6" w:rsidRPr="00655978" w:rsidRDefault="009355D6" w:rsidP="009355D6">
            <w:pPr>
              <w:pStyle w:val="Default"/>
              <w:numPr>
                <w:ilvl w:val="0"/>
                <w:numId w:val="9"/>
              </w:numPr>
              <w:rPr>
                <w:rFonts w:ascii="Calibri" w:hAnsi="Calibri" w:cstheme="minorBidi"/>
                <w:bCs/>
                <w:color w:val="auto"/>
                <w:sz w:val="22"/>
                <w:szCs w:val="22"/>
              </w:rPr>
            </w:pPr>
            <w:r w:rsidRPr="00655978">
              <w:rPr>
                <w:rFonts w:ascii="Calibri" w:hAnsi="Calibri" w:cstheme="minorBidi"/>
                <w:bCs/>
                <w:color w:val="auto"/>
                <w:sz w:val="22"/>
                <w:szCs w:val="22"/>
              </w:rPr>
              <w:t xml:space="preserve">Design of </w:t>
            </w:r>
            <w:proofErr w:type="spellStart"/>
            <w:r w:rsidRPr="00655978">
              <w:rPr>
                <w:rFonts w:ascii="Calibri" w:hAnsi="Calibri" w:cstheme="minorBidi"/>
                <w:bCs/>
                <w:color w:val="auto"/>
                <w:sz w:val="22"/>
                <w:szCs w:val="22"/>
              </w:rPr>
              <w:t>DUoS</w:t>
            </w:r>
            <w:proofErr w:type="spellEnd"/>
            <w:r w:rsidRPr="00655978">
              <w:rPr>
                <w:rFonts w:ascii="Calibri" w:hAnsi="Calibri" w:cstheme="minorBidi"/>
                <w:bCs/>
                <w:color w:val="auto"/>
                <w:sz w:val="22"/>
                <w:szCs w:val="22"/>
              </w:rPr>
              <w:t xml:space="preserve"> charges </w:t>
            </w:r>
            <w:proofErr w:type="spellStart"/>
            <w:r w:rsidRPr="00655978">
              <w:rPr>
                <w:rFonts w:ascii="Calibri" w:hAnsi="Calibri" w:cstheme="minorBidi"/>
                <w:bCs/>
                <w:color w:val="auto"/>
                <w:sz w:val="22"/>
                <w:szCs w:val="22"/>
              </w:rPr>
              <w:t>ie</w:t>
            </w:r>
            <w:proofErr w:type="spellEnd"/>
            <w:r w:rsidRPr="00655978">
              <w:rPr>
                <w:rFonts w:ascii="Calibri" w:hAnsi="Calibri" w:cstheme="minorBidi"/>
                <w:bCs/>
                <w:color w:val="auto"/>
                <w:sz w:val="22"/>
                <w:szCs w:val="22"/>
              </w:rPr>
              <w:t xml:space="preserve"> the basis on which users are charged</w:t>
            </w:r>
          </w:p>
          <w:p w:rsidR="009355D6" w:rsidRPr="00655978" w:rsidRDefault="009355D6" w:rsidP="009355D6">
            <w:pPr>
              <w:pStyle w:val="Default"/>
              <w:numPr>
                <w:ilvl w:val="0"/>
                <w:numId w:val="9"/>
              </w:numPr>
              <w:rPr>
                <w:rFonts w:ascii="Calibri" w:hAnsi="Calibri" w:cstheme="minorBidi"/>
                <w:bCs/>
                <w:color w:val="auto"/>
                <w:sz w:val="22"/>
                <w:szCs w:val="22"/>
              </w:rPr>
            </w:pPr>
            <w:r w:rsidRPr="00655978">
              <w:rPr>
                <w:rFonts w:ascii="Calibri" w:hAnsi="Calibri" w:cstheme="minorBidi"/>
                <w:bCs/>
                <w:color w:val="auto"/>
                <w:sz w:val="22"/>
                <w:szCs w:val="22"/>
              </w:rPr>
              <w:t>Methodology underpinning the flows on the network model used to set Transmission Network Use of System (</w:t>
            </w:r>
            <w:proofErr w:type="spellStart"/>
            <w:r w:rsidRPr="00655978">
              <w:rPr>
                <w:rFonts w:ascii="Calibri" w:hAnsi="Calibri" w:cstheme="minorBidi"/>
                <w:bCs/>
                <w:color w:val="auto"/>
                <w:sz w:val="22"/>
                <w:szCs w:val="22"/>
              </w:rPr>
              <w:t>TNUoS</w:t>
            </w:r>
            <w:proofErr w:type="spellEnd"/>
            <w:r w:rsidRPr="00655978">
              <w:rPr>
                <w:rFonts w:ascii="Calibri" w:hAnsi="Calibri" w:cstheme="minorBidi"/>
                <w:bCs/>
                <w:color w:val="auto"/>
                <w:sz w:val="22"/>
                <w:szCs w:val="22"/>
              </w:rPr>
              <w:t>) Charges</w:t>
            </w:r>
          </w:p>
          <w:p w:rsidR="009355D6" w:rsidRPr="00655978" w:rsidRDefault="009355D6" w:rsidP="009355D6">
            <w:pPr>
              <w:pStyle w:val="Default"/>
              <w:numPr>
                <w:ilvl w:val="0"/>
                <w:numId w:val="9"/>
              </w:numPr>
              <w:rPr>
                <w:rFonts w:ascii="Calibri" w:hAnsi="Calibri" w:cstheme="minorBidi"/>
                <w:bCs/>
                <w:color w:val="auto"/>
                <w:sz w:val="22"/>
                <w:szCs w:val="22"/>
              </w:rPr>
            </w:pPr>
            <w:r w:rsidRPr="00655978">
              <w:rPr>
                <w:rFonts w:ascii="Calibri" w:hAnsi="Calibri" w:cstheme="minorBidi"/>
                <w:bCs/>
                <w:color w:val="auto"/>
                <w:sz w:val="22"/>
                <w:szCs w:val="22"/>
              </w:rPr>
              <w:t xml:space="preserve">Better locational signals through </w:t>
            </w:r>
            <w:proofErr w:type="spellStart"/>
            <w:r w:rsidRPr="00655978">
              <w:rPr>
                <w:rFonts w:ascii="Calibri" w:hAnsi="Calibri" w:cstheme="minorBidi"/>
                <w:bCs/>
                <w:color w:val="auto"/>
                <w:sz w:val="22"/>
                <w:szCs w:val="22"/>
              </w:rPr>
              <w:t>TNUoS</w:t>
            </w:r>
            <w:proofErr w:type="spellEnd"/>
            <w:r w:rsidRPr="00655978">
              <w:rPr>
                <w:rFonts w:ascii="Calibri" w:hAnsi="Calibri" w:cstheme="minorBidi"/>
                <w:bCs/>
                <w:color w:val="auto"/>
                <w:sz w:val="22"/>
                <w:szCs w:val="22"/>
              </w:rPr>
              <w:t xml:space="preserve"> charges – embedded generation</w:t>
            </w:r>
          </w:p>
          <w:p w:rsidR="009355D6" w:rsidRPr="00655978" w:rsidRDefault="009355D6" w:rsidP="009355D6">
            <w:pPr>
              <w:pStyle w:val="Default"/>
              <w:numPr>
                <w:ilvl w:val="0"/>
                <w:numId w:val="9"/>
              </w:numPr>
              <w:rPr>
                <w:rFonts w:ascii="Calibri" w:hAnsi="Calibri" w:cstheme="minorBidi"/>
                <w:bCs/>
                <w:color w:val="auto"/>
                <w:sz w:val="22"/>
                <w:szCs w:val="22"/>
              </w:rPr>
            </w:pPr>
            <w:r w:rsidRPr="00655978">
              <w:rPr>
                <w:rFonts w:ascii="Calibri" w:hAnsi="Calibri" w:cstheme="minorBidi"/>
                <w:bCs/>
                <w:color w:val="auto"/>
                <w:sz w:val="22"/>
                <w:szCs w:val="22"/>
              </w:rPr>
              <w:t xml:space="preserve">Design of </w:t>
            </w:r>
            <w:proofErr w:type="spellStart"/>
            <w:r w:rsidRPr="00655978">
              <w:rPr>
                <w:rFonts w:ascii="Calibri" w:hAnsi="Calibri" w:cstheme="minorBidi"/>
                <w:bCs/>
                <w:color w:val="auto"/>
                <w:sz w:val="22"/>
                <w:szCs w:val="22"/>
              </w:rPr>
              <w:t>TNUoS</w:t>
            </w:r>
            <w:proofErr w:type="spellEnd"/>
            <w:r w:rsidRPr="00655978">
              <w:rPr>
                <w:rFonts w:ascii="Calibri" w:hAnsi="Calibri" w:cstheme="minorBidi"/>
                <w:bCs/>
                <w:color w:val="auto"/>
                <w:sz w:val="22"/>
                <w:szCs w:val="22"/>
              </w:rPr>
              <w:t xml:space="preserve"> demand charges </w:t>
            </w:r>
            <w:proofErr w:type="spellStart"/>
            <w:r w:rsidRPr="00655978">
              <w:rPr>
                <w:rFonts w:ascii="Calibri" w:hAnsi="Calibri" w:cstheme="minorBidi"/>
                <w:bCs/>
                <w:color w:val="auto"/>
                <w:sz w:val="22"/>
                <w:szCs w:val="22"/>
              </w:rPr>
              <w:t>ie</w:t>
            </w:r>
            <w:proofErr w:type="spellEnd"/>
            <w:r w:rsidRPr="00655978">
              <w:rPr>
                <w:rFonts w:ascii="Calibri" w:hAnsi="Calibri" w:cstheme="minorBidi"/>
                <w:bCs/>
                <w:color w:val="auto"/>
                <w:sz w:val="22"/>
                <w:szCs w:val="22"/>
              </w:rPr>
              <w:t xml:space="preserve"> the basis on which users are charged</w:t>
            </w:r>
          </w:p>
          <w:p w:rsidR="009355D6" w:rsidRPr="00655978" w:rsidRDefault="009355D6" w:rsidP="009355D6">
            <w:pPr>
              <w:spacing w:after="120"/>
              <w:jc w:val="left"/>
              <w:rPr>
                <w:rFonts w:cstheme="minorHAnsi"/>
                <w:b/>
                <w:color w:val="000000"/>
              </w:rPr>
            </w:pPr>
            <w:r w:rsidRPr="00655978">
              <w:rPr>
                <w:rFonts w:cstheme="minorHAnsi"/>
                <w:color w:val="000000"/>
              </w:rPr>
              <w:lastRenderedPageBreak/>
              <w:t>Over the coming months these options will be subject to detailed assessment leading to an Ofgem minded-to decision in Autumn 2020</w:t>
            </w:r>
            <w:r w:rsidRPr="00655978">
              <w:rPr>
                <w:rFonts w:cstheme="minorHAnsi"/>
                <w:b/>
                <w:color w:val="000000"/>
              </w:rPr>
              <w:t>.</w:t>
            </w:r>
          </w:p>
        </w:tc>
        <w:tc>
          <w:tcPr>
            <w:tcW w:w="3544" w:type="dxa"/>
            <w:vAlign w:val="center"/>
          </w:tcPr>
          <w:p w:rsidR="009355D6" w:rsidRDefault="009355D6" w:rsidP="009355D6">
            <w:pPr>
              <w:spacing w:after="120"/>
              <w:jc w:val="left"/>
              <w:rPr>
                <w:rFonts w:ascii="Calibri" w:hAnsi="Calibri"/>
                <w:bCs/>
              </w:rPr>
            </w:pPr>
            <w:r>
              <w:rPr>
                <w:rFonts w:ascii="Calibri" w:hAnsi="Calibri"/>
                <w:bCs/>
              </w:rPr>
              <w:lastRenderedPageBreak/>
              <w:t>The objective of both the Target Charging and Access and Forward-looking charges review t</w:t>
            </w:r>
            <w:r w:rsidDel="00E92567">
              <w:rPr>
                <w:rFonts w:ascii="Calibri" w:hAnsi="Calibri"/>
                <w:bCs/>
              </w:rPr>
              <w:t xml:space="preserve">his </w:t>
            </w:r>
            <w:r>
              <w:rPr>
                <w:rFonts w:ascii="Calibri" w:hAnsi="Calibri"/>
                <w:bCs/>
              </w:rPr>
              <w:t>Significant Code Reviews are</w:t>
            </w:r>
            <w:r w:rsidDel="00E92567">
              <w:rPr>
                <w:rFonts w:ascii="Calibri" w:hAnsi="Calibri"/>
                <w:bCs/>
              </w:rPr>
              <w:t xml:space="preserve"> </w:t>
            </w:r>
            <w:r>
              <w:rPr>
                <w:rFonts w:ascii="Calibri" w:hAnsi="Calibri"/>
                <w:bCs/>
              </w:rPr>
              <w:t xml:space="preserve">to </w:t>
            </w:r>
            <w:r w:rsidRPr="00AD3898">
              <w:rPr>
                <w:rFonts w:ascii="Calibri" w:hAnsi="Calibri"/>
                <w:bCs/>
              </w:rPr>
              <w:t>ensur</w:t>
            </w:r>
            <w:r>
              <w:rPr>
                <w:rFonts w:ascii="Calibri" w:hAnsi="Calibri"/>
                <w:bCs/>
              </w:rPr>
              <w:t>e</w:t>
            </w:r>
            <w:r w:rsidRPr="00AD3898">
              <w:rPr>
                <w:rFonts w:ascii="Calibri" w:hAnsi="Calibri"/>
                <w:bCs/>
              </w:rPr>
              <w:t xml:space="preserve"> that electricity networks are used efficiently and flexibly, reflecting users’ needs and allowing consumers to benefit from new technologies and services while avoiding unnecessary costs on energy bills in general</w:t>
            </w:r>
            <w:r>
              <w:rPr>
                <w:rFonts w:ascii="Calibri" w:hAnsi="Calibri"/>
                <w:bCs/>
              </w:rPr>
              <w:t xml:space="preserve">.  </w:t>
            </w:r>
          </w:p>
          <w:p w:rsidR="009355D6" w:rsidRPr="00204E2D" w:rsidRDefault="009355D6" w:rsidP="009355D6">
            <w:pPr>
              <w:spacing w:after="120"/>
              <w:jc w:val="left"/>
              <w:rPr>
                <w:rFonts w:ascii="Calibri" w:hAnsi="Calibri"/>
                <w:bCs/>
              </w:rPr>
            </w:pPr>
            <w:r>
              <w:rPr>
                <w:rFonts w:ascii="Calibri" w:hAnsi="Calibri"/>
                <w:bCs/>
              </w:rPr>
              <w:t>It could significantly affect community energy projects because it may impact the cost of connections and use of network charges paid by demand and generation customers.</w:t>
            </w:r>
          </w:p>
        </w:tc>
      </w:tr>
      <w:tr w:rsidR="009355D6" w:rsidRPr="00204E2D" w:rsidTr="00767745">
        <w:tc>
          <w:tcPr>
            <w:tcW w:w="1696" w:type="dxa"/>
            <w:shd w:val="pct12" w:color="auto" w:fill="auto"/>
          </w:tcPr>
          <w:p w:rsidR="009355D6" w:rsidRPr="00F36E03" w:rsidRDefault="009355D6" w:rsidP="009355D6">
            <w:pPr>
              <w:spacing w:after="120"/>
              <w:jc w:val="left"/>
              <w:rPr>
                <w:rFonts w:ascii="Calibri" w:hAnsi="Calibri"/>
                <w:bCs/>
              </w:rPr>
            </w:pPr>
            <w:bookmarkStart w:id="1" w:name="_Hlk89758873"/>
            <w:r w:rsidRPr="00F36E03">
              <w:rPr>
                <w:rStyle w:val="Strong"/>
                <w:rFonts w:ascii="Calibri" w:hAnsi="Calibri" w:cs="Segoe UI"/>
                <w:lang w:val="en-US"/>
              </w:rPr>
              <w:lastRenderedPageBreak/>
              <w:t>Ma</w:t>
            </w:r>
            <w:r w:rsidR="00586035" w:rsidRPr="00F36E03">
              <w:rPr>
                <w:rStyle w:val="Strong"/>
                <w:rFonts w:ascii="Calibri" w:hAnsi="Calibri" w:cs="Segoe UI"/>
                <w:lang w:val="en-US"/>
              </w:rPr>
              <w:t>rket-wide</w:t>
            </w:r>
            <w:r w:rsidRPr="00F36E03">
              <w:rPr>
                <w:rStyle w:val="Strong"/>
                <w:rFonts w:ascii="Calibri" w:hAnsi="Calibri" w:cs="Segoe UI"/>
                <w:lang w:val="en-US"/>
              </w:rPr>
              <w:t xml:space="preserve"> Half Hourly Settlement </w:t>
            </w:r>
            <w:r w:rsidR="00F45C27" w:rsidRPr="00F36E03">
              <w:rPr>
                <w:rStyle w:val="Strong"/>
                <w:rFonts w:ascii="Calibri" w:hAnsi="Calibri" w:cs="Segoe UI"/>
                <w:lang w:val="en-US"/>
              </w:rPr>
              <w:t xml:space="preserve">(MHHS) </w:t>
            </w:r>
            <w:r w:rsidRPr="00F36E03">
              <w:rPr>
                <w:rStyle w:val="Strong"/>
                <w:rFonts w:ascii="Calibri" w:hAnsi="Calibri" w:cs="Segoe UI"/>
                <w:lang w:val="en-US"/>
              </w:rPr>
              <w:t>Significant Code Review</w:t>
            </w:r>
            <w:bookmarkEnd w:id="1"/>
            <w:r w:rsidR="00F45C27" w:rsidRPr="00F36E03">
              <w:rPr>
                <w:rStyle w:val="Strong"/>
                <w:rFonts w:ascii="Calibri" w:hAnsi="Calibri" w:cs="Segoe UI"/>
                <w:lang w:val="en-US"/>
              </w:rPr>
              <w:t xml:space="preserve"> </w:t>
            </w:r>
          </w:p>
        </w:tc>
        <w:tc>
          <w:tcPr>
            <w:tcW w:w="2552" w:type="dxa"/>
          </w:tcPr>
          <w:p w:rsidR="009355D6" w:rsidRPr="00204E2D" w:rsidRDefault="009355D6" w:rsidP="009355D6">
            <w:pPr>
              <w:spacing w:after="120"/>
              <w:jc w:val="left"/>
              <w:rPr>
                <w:rFonts w:ascii="Calibri" w:hAnsi="Calibri"/>
                <w:bCs/>
              </w:rPr>
            </w:pPr>
            <w:r w:rsidRPr="00A50728">
              <w:rPr>
                <w:rFonts w:ascii="Calibri" w:hAnsi="Calibri"/>
                <w:bCs/>
              </w:rPr>
              <w:t>Settlement reconciles differences between a supplier’s contractual purchases of electricity and the demand of its customers. Generators and suppliers trade electricity in the wholesale market in half-hourly periods. Currently, most customers are settled on a ‘non-half-hourly’ basis using estimates of when they use electricity, based on a profile of the average consumer usage and their own meter reads (taken over weeks and months).</w:t>
            </w:r>
          </w:p>
        </w:tc>
        <w:tc>
          <w:tcPr>
            <w:tcW w:w="1276" w:type="dxa"/>
          </w:tcPr>
          <w:p w:rsidR="009355D6" w:rsidRPr="00204E2D" w:rsidRDefault="009355D6" w:rsidP="009355D6">
            <w:pPr>
              <w:spacing w:after="120"/>
              <w:jc w:val="left"/>
              <w:rPr>
                <w:rFonts w:ascii="Calibri" w:hAnsi="Calibri"/>
                <w:bCs/>
              </w:rPr>
            </w:pPr>
            <w:r>
              <w:rPr>
                <w:rFonts w:ascii="Calibri" w:hAnsi="Calibri"/>
                <w:bCs/>
              </w:rPr>
              <w:t>Ofgem</w:t>
            </w:r>
          </w:p>
        </w:tc>
        <w:tc>
          <w:tcPr>
            <w:tcW w:w="4961" w:type="dxa"/>
          </w:tcPr>
          <w:p w:rsidR="00700CF8" w:rsidRDefault="00655978" w:rsidP="009355D6">
            <w:pPr>
              <w:spacing w:after="120"/>
              <w:jc w:val="left"/>
              <w:rPr>
                <w:rStyle w:val="Strong"/>
                <w:rFonts w:ascii="Calibri" w:hAnsi="Calibri" w:cs="Segoe UI"/>
                <w:color w:val="081F2D"/>
                <w:highlight w:val="cyan"/>
                <w:lang w:val="en-US"/>
              </w:rPr>
            </w:pPr>
            <w:r w:rsidRPr="0024613A">
              <w:rPr>
                <w:rStyle w:val="Strong"/>
                <w:rFonts w:ascii="Calibri" w:hAnsi="Calibri" w:cs="Segoe UI"/>
                <w:color w:val="081F2D"/>
                <w:highlight w:val="cyan"/>
                <w:lang w:val="en-US"/>
              </w:rPr>
              <w:t>Update</w:t>
            </w:r>
            <w:r w:rsidR="0024613A" w:rsidRPr="0024613A">
              <w:rPr>
                <w:rStyle w:val="Strong"/>
                <w:rFonts w:ascii="Calibri" w:hAnsi="Calibri" w:cs="Segoe UI"/>
                <w:color w:val="081F2D"/>
                <w:highlight w:val="cyan"/>
                <w:lang w:val="en-US"/>
              </w:rPr>
              <w:t xml:space="preserve"> -</w:t>
            </w:r>
            <w:r w:rsidR="0024613A" w:rsidRPr="0024613A">
              <w:rPr>
                <w:rStyle w:val="Strong"/>
                <w:rFonts w:ascii="Calibri" w:hAnsi="Calibri" w:cs="Segoe UI"/>
                <w:color w:val="081F2D"/>
                <w:lang w:val="en-US"/>
              </w:rPr>
              <w:t xml:space="preserve"> </w:t>
            </w:r>
            <w:r w:rsidR="00233A90" w:rsidRPr="0024613A">
              <w:rPr>
                <w:rStyle w:val="Strong"/>
                <w:rFonts w:ascii="Calibri" w:hAnsi="Calibri" w:cs="Segoe UI"/>
                <w:color w:val="081F2D"/>
                <w:lang w:val="en-US"/>
              </w:rPr>
              <w:t xml:space="preserve"> </w:t>
            </w:r>
            <w:r w:rsidR="00700CF8" w:rsidRPr="00700CF8">
              <w:rPr>
                <w:rStyle w:val="Strong"/>
                <w:rFonts w:ascii="Calibri" w:hAnsi="Calibri" w:cs="Segoe UI"/>
                <w:color w:val="081F2D"/>
                <w:highlight w:val="cyan"/>
                <w:lang w:val="en-US"/>
              </w:rPr>
              <w:t>September</w:t>
            </w:r>
            <w:r w:rsidR="00700CF8">
              <w:rPr>
                <w:rStyle w:val="Strong"/>
                <w:rFonts w:ascii="Calibri" w:hAnsi="Calibri" w:cs="Segoe UI"/>
                <w:color w:val="081F2D"/>
                <w:highlight w:val="cyan"/>
                <w:lang w:val="en-US"/>
              </w:rPr>
              <w:t xml:space="preserve"> 22</w:t>
            </w:r>
          </w:p>
          <w:p w:rsidR="008A08A6" w:rsidRPr="0024613A" w:rsidRDefault="00E0609D" w:rsidP="009355D6">
            <w:pPr>
              <w:spacing w:after="120"/>
              <w:jc w:val="left"/>
              <w:rPr>
                <w:rStyle w:val="Strong"/>
                <w:rFonts w:ascii="Calibri" w:hAnsi="Calibri" w:cs="Segoe UI"/>
                <w:color w:val="081F2D"/>
                <w:lang w:val="en-US"/>
              </w:rPr>
            </w:pPr>
            <w:r>
              <w:rPr>
                <w:rStyle w:val="Strong"/>
                <w:rFonts w:ascii="Calibri" w:hAnsi="Calibri" w:cs="Segoe UI"/>
                <w:color w:val="081F2D"/>
                <w:highlight w:val="cyan"/>
                <w:lang w:val="en-US"/>
              </w:rPr>
              <w:t xml:space="preserve">Following a number of issues with the </w:t>
            </w:r>
            <w:proofErr w:type="spellStart"/>
            <w:r>
              <w:rPr>
                <w:rStyle w:val="Strong"/>
                <w:rFonts w:ascii="Calibri" w:hAnsi="Calibri" w:cs="Segoe UI"/>
                <w:color w:val="081F2D"/>
                <w:highlight w:val="cyan"/>
                <w:lang w:val="en-US"/>
              </w:rPr>
              <w:t>Programme</w:t>
            </w:r>
            <w:proofErr w:type="spellEnd"/>
            <w:r>
              <w:rPr>
                <w:rStyle w:val="Strong"/>
                <w:rFonts w:ascii="Calibri" w:hAnsi="Calibri" w:cs="Segoe UI"/>
                <w:color w:val="081F2D"/>
                <w:highlight w:val="cyan"/>
                <w:lang w:val="en-US"/>
              </w:rPr>
              <w:t xml:space="preserve"> plan, </w:t>
            </w:r>
            <w:proofErr w:type="spellStart"/>
            <w:r w:rsidR="00700CF8">
              <w:rPr>
                <w:rStyle w:val="Strong"/>
                <w:rFonts w:ascii="Calibri" w:hAnsi="Calibri" w:cs="Segoe UI"/>
                <w:color w:val="081F2D"/>
                <w:highlight w:val="cyan"/>
                <w:lang w:val="en-US"/>
              </w:rPr>
              <w:t>Elexon</w:t>
            </w:r>
            <w:proofErr w:type="spellEnd"/>
            <w:r w:rsidR="00700CF8">
              <w:rPr>
                <w:rStyle w:val="Strong"/>
                <w:rFonts w:ascii="Calibri" w:hAnsi="Calibri" w:cs="Segoe UI"/>
                <w:color w:val="081F2D"/>
                <w:highlight w:val="cyan"/>
                <w:lang w:val="en-US"/>
              </w:rPr>
              <w:t xml:space="preserve"> has</w:t>
            </w:r>
            <w:r w:rsidR="000E5DDF">
              <w:rPr>
                <w:rStyle w:val="Strong"/>
                <w:rFonts w:ascii="Calibri" w:hAnsi="Calibri" w:cs="Segoe UI"/>
                <w:color w:val="081F2D"/>
                <w:highlight w:val="cyan"/>
                <w:lang w:val="en-US"/>
              </w:rPr>
              <w:t xml:space="preserve"> set out a three-</w:t>
            </w:r>
            <w:r>
              <w:rPr>
                <w:rStyle w:val="Strong"/>
                <w:rFonts w:ascii="Calibri" w:hAnsi="Calibri" w:cs="Segoe UI"/>
                <w:color w:val="081F2D"/>
                <w:highlight w:val="cyan"/>
                <w:lang w:val="en-US"/>
              </w:rPr>
              <w:t xml:space="preserve">part consultation to discuss and agree a modified </w:t>
            </w:r>
            <w:proofErr w:type="spellStart"/>
            <w:r>
              <w:rPr>
                <w:rStyle w:val="Strong"/>
                <w:rFonts w:ascii="Calibri" w:hAnsi="Calibri" w:cs="Segoe UI"/>
                <w:color w:val="081F2D"/>
                <w:highlight w:val="cyan"/>
                <w:lang w:val="en-US"/>
              </w:rPr>
              <w:t>programme</w:t>
            </w:r>
            <w:proofErr w:type="spellEnd"/>
            <w:r>
              <w:rPr>
                <w:rStyle w:val="Strong"/>
                <w:rFonts w:ascii="Calibri" w:hAnsi="Calibri" w:cs="Segoe UI"/>
                <w:color w:val="081F2D"/>
                <w:highlight w:val="cyan"/>
                <w:lang w:val="en-US"/>
              </w:rPr>
              <w:t xml:space="preserve"> timetable with all of the </w:t>
            </w:r>
            <w:proofErr w:type="spellStart"/>
            <w:r>
              <w:rPr>
                <w:rStyle w:val="Strong"/>
                <w:rFonts w:ascii="Calibri" w:hAnsi="Calibri" w:cs="Segoe UI"/>
                <w:color w:val="081F2D"/>
                <w:highlight w:val="cyan"/>
                <w:lang w:val="en-US"/>
              </w:rPr>
              <w:t>programme</w:t>
            </w:r>
            <w:proofErr w:type="spellEnd"/>
            <w:r>
              <w:rPr>
                <w:rStyle w:val="Strong"/>
                <w:rFonts w:ascii="Calibri" w:hAnsi="Calibri" w:cs="Segoe UI"/>
                <w:color w:val="081F2D"/>
                <w:highlight w:val="cyan"/>
                <w:lang w:val="en-US"/>
              </w:rPr>
              <w:t xml:space="preserve"> participants. This follows a significant level of pushback from </w:t>
            </w:r>
            <w:r w:rsidR="00481B6B">
              <w:rPr>
                <w:rStyle w:val="Strong"/>
                <w:rFonts w:ascii="Calibri" w:hAnsi="Calibri" w:cs="Segoe UI"/>
                <w:color w:val="081F2D"/>
                <w:highlight w:val="cyan"/>
                <w:lang w:val="en-US"/>
              </w:rPr>
              <w:t>the suppliers on the available resources to complete the SCR.  The three consultations will close in October 2022.</w:t>
            </w:r>
            <w:r>
              <w:rPr>
                <w:rStyle w:val="Strong"/>
                <w:rFonts w:ascii="Calibri" w:hAnsi="Calibri" w:cs="Segoe UI"/>
                <w:color w:val="081F2D"/>
                <w:highlight w:val="cyan"/>
                <w:lang w:val="en-US"/>
              </w:rPr>
              <w:t xml:space="preserve"> </w:t>
            </w:r>
            <w:r w:rsidR="00700CF8">
              <w:rPr>
                <w:rStyle w:val="Strong"/>
                <w:rFonts w:ascii="Calibri" w:hAnsi="Calibri" w:cs="Segoe UI"/>
                <w:color w:val="081F2D"/>
                <w:highlight w:val="cyan"/>
                <w:lang w:val="en-US"/>
              </w:rPr>
              <w:t xml:space="preserve"> </w:t>
            </w:r>
            <w:r w:rsidR="00700CF8" w:rsidRPr="00700CF8">
              <w:rPr>
                <w:rStyle w:val="Strong"/>
                <w:rFonts w:ascii="Calibri" w:hAnsi="Calibri" w:cs="Segoe UI"/>
                <w:color w:val="081F2D"/>
                <w:highlight w:val="cyan"/>
                <w:lang w:val="en-US"/>
              </w:rPr>
              <w:t xml:space="preserve"> </w:t>
            </w:r>
          </w:p>
          <w:p w:rsidR="00233A90" w:rsidRPr="008A08A6" w:rsidRDefault="008A08A6" w:rsidP="009355D6">
            <w:pPr>
              <w:spacing w:after="120"/>
              <w:jc w:val="left"/>
              <w:rPr>
                <w:rStyle w:val="Strong"/>
                <w:rFonts w:ascii="Calibri" w:hAnsi="Calibri" w:cs="Segoe UI"/>
                <w:b w:val="0"/>
                <w:color w:val="081F2D"/>
                <w:lang w:val="en-US"/>
              </w:rPr>
            </w:pPr>
            <w:r w:rsidRPr="008A08A6">
              <w:rPr>
                <w:rStyle w:val="Strong"/>
                <w:rFonts w:ascii="Calibri" w:hAnsi="Calibri" w:cs="Segoe UI"/>
                <w:b w:val="0"/>
                <w:color w:val="081F2D"/>
                <w:lang w:val="en-US"/>
              </w:rPr>
              <w:t xml:space="preserve">Jun-22 - </w:t>
            </w:r>
            <w:r w:rsidR="00233A90" w:rsidRPr="008A08A6">
              <w:rPr>
                <w:rStyle w:val="Strong"/>
                <w:rFonts w:ascii="Calibri" w:hAnsi="Calibri" w:cs="Segoe UI"/>
                <w:b w:val="0"/>
                <w:color w:val="081F2D"/>
                <w:lang w:val="en-US"/>
              </w:rPr>
              <w:t xml:space="preserve">Elexon has raised </w:t>
            </w:r>
            <w:proofErr w:type="gramStart"/>
            <w:r w:rsidR="00233A90" w:rsidRPr="008A08A6">
              <w:rPr>
                <w:rStyle w:val="Strong"/>
                <w:rFonts w:ascii="Calibri" w:hAnsi="Calibri" w:cs="Segoe UI"/>
                <w:b w:val="0"/>
                <w:color w:val="081F2D"/>
                <w:lang w:val="en-US"/>
              </w:rPr>
              <w:t>a number of</w:t>
            </w:r>
            <w:proofErr w:type="gramEnd"/>
            <w:r w:rsidR="00233A90" w:rsidRPr="008A08A6">
              <w:rPr>
                <w:rStyle w:val="Strong"/>
                <w:rFonts w:ascii="Calibri" w:hAnsi="Calibri" w:cs="Segoe UI"/>
                <w:b w:val="0"/>
                <w:color w:val="081F2D"/>
                <w:lang w:val="en-US"/>
              </w:rPr>
              <w:t xml:space="preserve"> changes to the proposed baseline milestones following feedback from industry parties. These changes will delay specific milestones in line with previously accepted change proposals.</w:t>
            </w:r>
          </w:p>
          <w:p w:rsidR="00655978" w:rsidRPr="008A08A6" w:rsidRDefault="00233A90" w:rsidP="009355D6">
            <w:pPr>
              <w:spacing w:after="120"/>
              <w:jc w:val="left"/>
              <w:rPr>
                <w:rStyle w:val="Strong"/>
                <w:rFonts w:ascii="Calibri" w:hAnsi="Calibri" w:cs="Segoe UI"/>
                <w:b w:val="0"/>
                <w:color w:val="081F2D"/>
                <w:lang w:val="en-US"/>
              </w:rPr>
            </w:pPr>
            <w:r w:rsidRPr="008A08A6">
              <w:rPr>
                <w:rStyle w:val="Strong"/>
                <w:rFonts w:ascii="Calibri" w:hAnsi="Calibri" w:cs="Segoe UI"/>
                <w:b w:val="0"/>
                <w:color w:val="081F2D"/>
                <w:lang w:val="en-US"/>
              </w:rPr>
              <w:t xml:space="preserve">Elexon has requested information from the industry parties on the governance arrangements in place to deliver the code review objectives. The readiness assessment was issued in April 22 and the results published in May 22. The overarching message was that the </w:t>
            </w:r>
            <w:proofErr w:type="gramStart"/>
            <w:r w:rsidRPr="008A08A6">
              <w:rPr>
                <w:rStyle w:val="Strong"/>
                <w:rFonts w:ascii="Calibri" w:hAnsi="Calibri" w:cs="Segoe UI"/>
                <w:b w:val="0"/>
                <w:color w:val="081F2D"/>
                <w:lang w:val="en-US"/>
              </w:rPr>
              <w:t>vast majority</w:t>
            </w:r>
            <w:proofErr w:type="gramEnd"/>
            <w:r w:rsidRPr="008A08A6">
              <w:rPr>
                <w:rStyle w:val="Strong"/>
                <w:rFonts w:ascii="Calibri" w:hAnsi="Calibri" w:cs="Segoe UI"/>
                <w:b w:val="0"/>
                <w:color w:val="081F2D"/>
                <w:lang w:val="en-US"/>
              </w:rPr>
              <w:t xml:space="preserve"> of parties were not fully engaged with the </w:t>
            </w:r>
            <w:proofErr w:type="spellStart"/>
            <w:r w:rsidRPr="008A08A6">
              <w:rPr>
                <w:rStyle w:val="Strong"/>
                <w:rFonts w:ascii="Calibri" w:hAnsi="Calibri" w:cs="Segoe UI"/>
                <w:b w:val="0"/>
                <w:color w:val="081F2D"/>
                <w:lang w:val="en-US"/>
              </w:rPr>
              <w:t>programme</w:t>
            </w:r>
            <w:proofErr w:type="spellEnd"/>
            <w:r w:rsidRPr="008A08A6">
              <w:rPr>
                <w:rStyle w:val="Strong"/>
                <w:rFonts w:ascii="Calibri" w:hAnsi="Calibri" w:cs="Segoe UI"/>
                <w:b w:val="0"/>
                <w:color w:val="081F2D"/>
                <w:lang w:val="en-US"/>
              </w:rPr>
              <w:t xml:space="preserve"> and that</w:t>
            </w:r>
            <w:r w:rsidR="002A1DF5" w:rsidRPr="008A08A6">
              <w:rPr>
                <w:rStyle w:val="Strong"/>
                <w:rFonts w:ascii="Calibri" w:hAnsi="Calibri" w:cs="Segoe UI"/>
                <w:b w:val="0"/>
                <w:color w:val="081F2D"/>
                <w:lang w:val="en-US"/>
              </w:rPr>
              <w:t xml:space="preserve"> </w:t>
            </w:r>
            <w:proofErr w:type="spellStart"/>
            <w:r w:rsidR="002A1DF5" w:rsidRPr="008A08A6">
              <w:rPr>
                <w:rStyle w:val="Strong"/>
                <w:rFonts w:ascii="Calibri" w:hAnsi="Calibri" w:cs="Segoe UI"/>
                <w:b w:val="0"/>
                <w:color w:val="081F2D"/>
                <w:lang w:val="en-US"/>
              </w:rPr>
              <w:t>Elexon</w:t>
            </w:r>
            <w:proofErr w:type="spellEnd"/>
            <w:r w:rsidR="002A1DF5" w:rsidRPr="008A08A6">
              <w:rPr>
                <w:rStyle w:val="Strong"/>
                <w:rFonts w:ascii="Calibri" w:hAnsi="Calibri" w:cs="Segoe UI"/>
                <w:b w:val="0"/>
                <w:color w:val="081F2D"/>
                <w:lang w:val="en-US"/>
              </w:rPr>
              <w:t xml:space="preserve"> need to work with the industry to understand and remove any barriers.</w:t>
            </w:r>
          </w:p>
          <w:p w:rsidR="003206E6" w:rsidRPr="00655978" w:rsidRDefault="00655978" w:rsidP="009355D6">
            <w:pPr>
              <w:spacing w:after="120"/>
              <w:jc w:val="left"/>
              <w:rPr>
                <w:rStyle w:val="Strong"/>
                <w:rFonts w:ascii="Calibri" w:hAnsi="Calibri" w:cs="Segoe UI"/>
                <w:b w:val="0"/>
                <w:color w:val="081F2D"/>
                <w:lang w:val="en-US"/>
              </w:rPr>
            </w:pPr>
            <w:r w:rsidRPr="00655978">
              <w:rPr>
                <w:rStyle w:val="Strong"/>
                <w:rFonts w:ascii="Calibri" w:hAnsi="Calibri" w:cs="Segoe UI"/>
                <w:b w:val="0"/>
                <w:color w:val="081F2D"/>
                <w:lang w:val="en-US"/>
              </w:rPr>
              <w:lastRenderedPageBreak/>
              <w:t xml:space="preserve">Mar-22 - </w:t>
            </w:r>
            <w:r w:rsidR="003A41C6" w:rsidRPr="00655978">
              <w:rPr>
                <w:rStyle w:val="Strong"/>
                <w:rFonts w:ascii="Calibri" w:hAnsi="Calibri" w:cs="Segoe UI"/>
                <w:b w:val="0"/>
                <w:color w:val="081F2D"/>
                <w:lang w:val="en-US"/>
              </w:rPr>
              <w:t xml:space="preserve">Ofgem has made </w:t>
            </w:r>
            <w:proofErr w:type="gramStart"/>
            <w:r w:rsidR="003A41C6" w:rsidRPr="00655978">
              <w:rPr>
                <w:rStyle w:val="Strong"/>
                <w:rFonts w:ascii="Calibri" w:hAnsi="Calibri" w:cs="Segoe UI"/>
                <w:b w:val="0"/>
                <w:color w:val="081F2D"/>
                <w:lang w:val="en-US"/>
              </w:rPr>
              <w:t>a number of</w:t>
            </w:r>
            <w:proofErr w:type="gramEnd"/>
            <w:r w:rsidR="003A41C6" w:rsidRPr="00655978">
              <w:rPr>
                <w:rStyle w:val="Strong"/>
                <w:rFonts w:ascii="Calibri" w:hAnsi="Calibri" w:cs="Segoe UI"/>
                <w:b w:val="0"/>
                <w:color w:val="081F2D"/>
                <w:lang w:val="en-US"/>
              </w:rPr>
              <w:t xml:space="preserve"> appointments to facilitate the MHHS </w:t>
            </w:r>
            <w:proofErr w:type="spellStart"/>
            <w:r w:rsidR="003A41C6" w:rsidRPr="00655978">
              <w:rPr>
                <w:rStyle w:val="Strong"/>
                <w:rFonts w:ascii="Calibri" w:hAnsi="Calibri" w:cs="Segoe UI"/>
                <w:b w:val="0"/>
                <w:color w:val="081F2D"/>
                <w:lang w:val="en-US"/>
              </w:rPr>
              <w:t>programme</w:t>
            </w:r>
            <w:proofErr w:type="spellEnd"/>
            <w:r w:rsidR="003A41C6" w:rsidRPr="00655978">
              <w:rPr>
                <w:rStyle w:val="Strong"/>
                <w:rFonts w:ascii="Calibri" w:hAnsi="Calibri" w:cs="Segoe UI"/>
                <w:b w:val="0"/>
                <w:color w:val="081F2D"/>
                <w:lang w:val="en-US"/>
              </w:rPr>
              <w:t xml:space="preserve"> including the Independent assessment body</w:t>
            </w:r>
            <w:r w:rsidR="003206E6" w:rsidRPr="00655978">
              <w:rPr>
                <w:rStyle w:val="Strong"/>
                <w:rFonts w:ascii="Calibri" w:hAnsi="Calibri" w:cs="Segoe UI"/>
                <w:b w:val="0"/>
                <w:color w:val="081F2D"/>
                <w:lang w:val="en-US"/>
              </w:rPr>
              <w:t>.</w:t>
            </w:r>
          </w:p>
          <w:p w:rsidR="009355D6" w:rsidRPr="003A41C6" w:rsidRDefault="009355D6" w:rsidP="009355D6">
            <w:pPr>
              <w:spacing w:after="120"/>
              <w:jc w:val="left"/>
              <w:rPr>
                <w:rStyle w:val="Strong"/>
                <w:rFonts w:ascii="Calibri" w:hAnsi="Calibri" w:cs="Segoe UI"/>
                <w:b w:val="0"/>
                <w:color w:val="081F2D"/>
                <w:lang w:val="en-US"/>
              </w:rPr>
            </w:pPr>
            <w:r w:rsidRPr="003A41C6">
              <w:rPr>
                <w:rStyle w:val="Strong"/>
                <w:rFonts w:ascii="Calibri" w:hAnsi="Calibri" w:cs="Segoe UI"/>
                <w:b w:val="0"/>
                <w:color w:val="081F2D"/>
                <w:lang w:val="en-US"/>
              </w:rPr>
              <w:t>19 Nov Ofgem announced business separation of Elexon for the MHHS Program to facilitate the industry led format of the SCR.</w:t>
            </w:r>
          </w:p>
          <w:p w:rsidR="009355D6" w:rsidRPr="003A41C6" w:rsidRDefault="009355D6" w:rsidP="009355D6">
            <w:pPr>
              <w:spacing w:after="120"/>
              <w:jc w:val="left"/>
              <w:rPr>
                <w:rStyle w:val="Strong"/>
                <w:rFonts w:ascii="Calibri" w:hAnsi="Calibri" w:cs="Segoe UI"/>
                <w:b w:val="0"/>
                <w:color w:val="081F2D"/>
                <w:lang w:val="en-US"/>
              </w:rPr>
            </w:pPr>
            <w:r w:rsidRPr="003A41C6">
              <w:rPr>
                <w:rStyle w:val="Strong"/>
                <w:rFonts w:ascii="Calibri" w:hAnsi="Calibri" w:cs="Segoe UI"/>
                <w:b w:val="0"/>
                <w:color w:val="081F2D"/>
                <w:lang w:val="en-US"/>
              </w:rPr>
              <w:t>On the 1 November MHHS published its Governance Framework to inform stakeholders that Ofgem is now designating the Governance Framework for MHHS.</w:t>
            </w:r>
          </w:p>
          <w:p w:rsidR="009355D6" w:rsidRPr="003A41C6" w:rsidRDefault="009355D6" w:rsidP="009355D6">
            <w:pPr>
              <w:spacing w:after="120"/>
              <w:jc w:val="left"/>
            </w:pPr>
            <w:r w:rsidRPr="003A41C6">
              <w:rPr>
                <w:rStyle w:val="Strong"/>
                <w:rFonts w:ascii="Calibri" w:hAnsi="Calibri" w:cs="Segoe UI"/>
                <w:b w:val="0"/>
                <w:color w:val="081F2D"/>
                <w:lang w:val="en-US"/>
              </w:rPr>
              <w:t xml:space="preserve">On the 12 August Ofgem published an update on this </w:t>
            </w:r>
            <w:r w:rsidR="00F45C27" w:rsidRPr="003A41C6">
              <w:rPr>
                <w:rStyle w:val="Strong"/>
                <w:rFonts w:ascii="Calibri" w:hAnsi="Calibri" w:cs="Segoe UI"/>
                <w:b w:val="0"/>
                <w:color w:val="081F2D"/>
                <w:lang w:val="en-US"/>
              </w:rPr>
              <w:t xml:space="preserve">significant code review </w:t>
            </w:r>
            <w:r w:rsidRPr="003A41C6">
              <w:rPr>
                <w:rStyle w:val="Strong"/>
                <w:rFonts w:ascii="Calibri" w:hAnsi="Calibri" w:cs="Segoe UI"/>
                <w:b w:val="0"/>
                <w:color w:val="081F2D"/>
                <w:lang w:val="en-US"/>
              </w:rPr>
              <w:t xml:space="preserve">stating their intention to submit </w:t>
            </w:r>
            <w:r w:rsidRPr="003A41C6">
              <w:t xml:space="preserve">their first set of Authority-led proposals in respect of code modifications required to put in place the Market-Wide Half-Hourly Settlement (MHHS) implementation and governance arrangements to the relevant panels and administrators of the following industry codes: </w:t>
            </w:r>
          </w:p>
          <w:p w:rsidR="009355D6" w:rsidRPr="003A41C6" w:rsidRDefault="009355D6" w:rsidP="009355D6">
            <w:pPr>
              <w:pStyle w:val="ListParagraph"/>
              <w:numPr>
                <w:ilvl w:val="0"/>
                <w:numId w:val="16"/>
              </w:numPr>
              <w:spacing w:after="120"/>
              <w:jc w:val="left"/>
            </w:pPr>
            <w:r w:rsidRPr="003A41C6">
              <w:t xml:space="preserve">Balancing and Settlement Code (BSC) </w:t>
            </w:r>
          </w:p>
          <w:p w:rsidR="009355D6" w:rsidRPr="003A41C6" w:rsidRDefault="009355D6" w:rsidP="009355D6">
            <w:pPr>
              <w:pStyle w:val="ListParagraph"/>
              <w:numPr>
                <w:ilvl w:val="0"/>
                <w:numId w:val="16"/>
              </w:numPr>
              <w:spacing w:after="120"/>
              <w:jc w:val="left"/>
            </w:pPr>
            <w:r w:rsidRPr="003A41C6">
              <w:t xml:space="preserve">Distribution Connection and Use of System Agreement (DCUSA) </w:t>
            </w:r>
          </w:p>
          <w:p w:rsidR="009355D6" w:rsidRPr="003A41C6" w:rsidRDefault="009355D6" w:rsidP="009355D6">
            <w:pPr>
              <w:pStyle w:val="ListParagraph"/>
              <w:numPr>
                <w:ilvl w:val="0"/>
                <w:numId w:val="16"/>
              </w:numPr>
              <w:spacing w:after="120"/>
              <w:jc w:val="left"/>
            </w:pPr>
            <w:r w:rsidRPr="003A41C6">
              <w:t xml:space="preserve">Connection and Use of System Code (CUSC) </w:t>
            </w:r>
          </w:p>
          <w:p w:rsidR="009355D6" w:rsidRPr="003A41C6" w:rsidRDefault="009355D6" w:rsidP="009355D6">
            <w:pPr>
              <w:pStyle w:val="ListParagraph"/>
              <w:numPr>
                <w:ilvl w:val="0"/>
                <w:numId w:val="16"/>
              </w:numPr>
              <w:spacing w:after="120"/>
              <w:jc w:val="left"/>
            </w:pPr>
            <w:r w:rsidRPr="003A41C6">
              <w:t xml:space="preserve">Smart Energy Code (SEC) </w:t>
            </w:r>
          </w:p>
          <w:p w:rsidR="009355D6" w:rsidRPr="003A41C6" w:rsidRDefault="009355D6" w:rsidP="009355D6">
            <w:pPr>
              <w:pStyle w:val="ListParagraph"/>
              <w:numPr>
                <w:ilvl w:val="0"/>
                <w:numId w:val="16"/>
              </w:numPr>
              <w:spacing w:after="120"/>
              <w:jc w:val="left"/>
            </w:pPr>
            <w:r w:rsidRPr="003A41C6">
              <w:t>Retail Energy Code (REC)</w:t>
            </w:r>
          </w:p>
          <w:p w:rsidR="009355D6" w:rsidRPr="003A41C6" w:rsidRDefault="009355D6" w:rsidP="009355D6">
            <w:pPr>
              <w:spacing w:after="120"/>
              <w:jc w:val="left"/>
              <w:rPr>
                <w:rStyle w:val="Strong"/>
                <w:b w:val="0"/>
                <w:bCs w:val="0"/>
              </w:rPr>
            </w:pPr>
            <w:r w:rsidRPr="003A41C6">
              <w:rPr>
                <w:rStyle w:val="Strong"/>
                <w:b w:val="0"/>
                <w:bCs w:val="0"/>
              </w:rPr>
              <w:t>Ofgem have set out their intention for the implementation of the MHHS by October 2025.</w:t>
            </w:r>
          </w:p>
          <w:p w:rsidR="009355D6" w:rsidRPr="00E77657" w:rsidRDefault="009355D6" w:rsidP="009355D6">
            <w:pPr>
              <w:spacing w:after="120"/>
              <w:jc w:val="left"/>
              <w:rPr>
                <w:rFonts w:ascii="Calibri" w:hAnsi="Calibri"/>
                <w:b/>
                <w:bCs/>
              </w:rPr>
            </w:pPr>
          </w:p>
        </w:tc>
        <w:tc>
          <w:tcPr>
            <w:tcW w:w="3544" w:type="dxa"/>
          </w:tcPr>
          <w:p w:rsidR="009355D6" w:rsidRDefault="009355D6" w:rsidP="009355D6">
            <w:r>
              <w:lastRenderedPageBreak/>
              <w:t>This significant code review will change the way that suppliers bill customers and will also change the amount of data provided to the industry.</w:t>
            </w:r>
          </w:p>
          <w:p w:rsidR="009355D6" w:rsidRPr="00204E2D" w:rsidRDefault="009355D6" w:rsidP="009355D6">
            <w:pPr>
              <w:spacing w:after="120"/>
              <w:jc w:val="left"/>
              <w:rPr>
                <w:rFonts w:ascii="Calibri" w:hAnsi="Calibri"/>
                <w:bCs/>
              </w:rPr>
            </w:pPr>
            <w:r>
              <w:t xml:space="preserve">It could help community energy groups because widespread half hourly metering is seen as key to unlocking new markets such as domestic flexibility.  </w:t>
            </w:r>
          </w:p>
        </w:tc>
      </w:tr>
      <w:tr w:rsidR="009355D6" w:rsidRPr="00204E2D" w:rsidTr="00767745">
        <w:tc>
          <w:tcPr>
            <w:tcW w:w="1696" w:type="dxa"/>
            <w:shd w:val="pct12" w:color="auto" w:fill="auto"/>
          </w:tcPr>
          <w:p w:rsidR="009355D6" w:rsidRPr="00F36E03" w:rsidRDefault="009355D6" w:rsidP="009355D6">
            <w:pPr>
              <w:spacing w:after="120"/>
              <w:jc w:val="left"/>
              <w:rPr>
                <w:b/>
              </w:rPr>
            </w:pPr>
            <w:r w:rsidRPr="00F36E03">
              <w:rPr>
                <w:rFonts w:ascii="Calibri" w:hAnsi="Calibri"/>
                <w:b/>
                <w:bCs/>
              </w:rPr>
              <w:lastRenderedPageBreak/>
              <w:t>DCUSA Change Proposal (DCP) 390 ‘Provision of Isolations for Safe Working on Customers’ Electrical Installations’</w:t>
            </w:r>
          </w:p>
        </w:tc>
        <w:tc>
          <w:tcPr>
            <w:tcW w:w="2552" w:type="dxa"/>
            <w:shd w:val="clear" w:color="auto" w:fill="auto"/>
          </w:tcPr>
          <w:p w:rsidR="009355D6" w:rsidRPr="00707ADA" w:rsidRDefault="009355D6" w:rsidP="009355D6">
            <w:pPr>
              <w:spacing w:after="120"/>
              <w:jc w:val="left"/>
              <w:rPr>
                <w:rFonts w:ascii="Calibri" w:hAnsi="Calibri"/>
                <w:bCs/>
              </w:rPr>
            </w:pPr>
            <w:r w:rsidRPr="005A4451">
              <w:rPr>
                <w:rFonts w:ascii="Calibri" w:hAnsi="Calibri"/>
                <w:bCs/>
              </w:rPr>
              <w:t>Proposed change under the Distribution Connection &amp; Use of System Agreement (DCUSA)</w:t>
            </w:r>
            <w:r w:rsidRPr="005A4451">
              <w:t xml:space="preserve"> </w:t>
            </w:r>
            <w:r w:rsidRPr="005A4451">
              <w:rPr>
                <w:rFonts w:ascii="Calibri" w:hAnsi="Calibri"/>
                <w:bCs/>
              </w:rPr>
              <w:t>to define a process detailing how a customer can obtain timely main supply electrical isolations to allow for safe working on their electrical installations.</w:t>
            </w:r>
          </w:p>
        </w:tc>
        <w:tc>
          <w:tcPr>
            <w:tcW w:w="1276" w:type="dxa"/>
          </w:tcPr>
          <w:p w:rsidR="009355D6" w:rsidRPr="00204E2D" w:rsidRDefault="009355D6" w:rsidP="009355D6">
            <w:pPr>
              <w:spacing w:after="120"/>
              <w:jc w:val="left"/>
              <w:rPr>
                <w:rFonts w:ascii="Calibri" w:hAnsi="Calibri"/>
                <w:bCs/>
              </w:rPr>
            </w:pPr>
            <w:r w:rsidRPr="00707ADA">
              <w:rPr>
                <w:rFonts w:ascii="Calibri" w:hAnsi="Calibri"/>
                <w:bCs/>
              </w:rPr>
              <w:t>DCUSA</w:t>
            </w:r>
          </w:p>
        </w:tc>
        <w:tc>
          <w:tcPr>
            <w:tcW w:w="4961" w:type="dxa"/>
            <w:shd w:val="clear" w:color="auto" w:fill="auto"/>
          </w:tcPr>
          <w:p w:rsidR="00586035" w:rsidRPr="00655978" w:rsidRDefault="00655978" w:rsidP="009713A9">
            <w:pPr>
              <w:pStyle w:val="Default"/>
              <w:rPr>
                <w:rFonts w:asciiTheme="minorHAnsi" w:hAnsiTheme="minorHAnsi" w:cstheme="minorHAnsi"/>
                <w:sz w:val="22"/>
                <w:szCs w:val="22"/>
              </w:rPr>
            </w:pPr>
            <w:r w:rsidRPr="00655978">
              <w:rPr>
                <w:rFonts w:asciiTheme="minorHAnsi" w:hAnsiTheme="minorHAnsi" w:cstheme="minorHAnsi"/>
                <w:bCs/>
                <w:sz w:val="22"/>
                <w:szCs w:val="22"/>
              </w:rPr>
              <w:t>Mar-22</w:t>
            </w:r>
            <w:r w:rsidR="002E4FC7" w:rsidRPr="00655978">
              <w:rPr>
                <w:rFonts w:asciiTheme="minorHAnsi" w:hAnsiTheme="minorHAnsi" w:cstheme="minorHAnsi"/>
                <w:bCs/>
                <w:sz w:val="22"/>
                <w:szCs w:val="22"/>
              </w:rPr>
              <w:t xml:space="preserve"> </w:t>
            </w:r>
            <w:r w:rsidR="009713A9" w:rsidRPr="00655978">
              <w:rPr>
                <w:rFonts w:asciiTheme="minorHAnsi" w:hAnsiTheme="minorHAnsi" w:cstheme="minorHAnsi"/>
                <w:bCs/>
                <w:sz w:val="22"/>
                <w:szCs w:val="22"/>
              </w:rPr>
              <w:t>–</w:t>
            </w:r>
            <w:r w:rsidR="002E4FC7" w:rsidRPr="00655978">
              <w:rPr>
                <w:rFonts w:asciiTheme="minorHAnsi" w:hAnsiTheme="minorHAnsi" w:cstheme="minorHAnsi"/>
                <w:bCs/>
                <w:sz w:val="22"/>
                <w:szCs w:val="22"/>
              </w:rPr>
              <w:t xml:space="preserve"> </w:t>
            </w:r>
            <w:r w:rsidR="009713A9" w:rsidRPr="00655978">
              <w:rPr>
                <w:rFonts w:asciiTheme="minorHAnsi" w:hAnsiTheme="minorHAnsi" w:cstheme="minorHAnsi"/>
                <w:bCs/>
                <w:sz w:val="22"/>
                <w:szCs w:val="22"/>
              </w:rPr>
              <w:t xml:space="preserve">DCUSA Parties voted overall to accept the solution under this change proposal, it was sent to </w:t>
            </w:r>
            <w:r w:rsidR="00AF74A8" w:rsidRPr="00655978">
              <w:rPr>
                <w:rFonts w:asciiTheme="minorHAnsi" w:hAnsiTheme="minorHAnsi" w:cstheme="minorHAnsi"/>
                <w:bCs/>
                <w:sz w:val="22"/>
                <w:szCs w:val="22"/>
              </w:rPr>
              <w:t xml:space="preserve">the Authority </w:t>
            </w:r>
            <w:r w:rsidR="009713A9" w:rsidRPr="00655978">
              <w:rPr>
                <w:rFonts w:asciiTheme="minorHAnsi" w:hAnsiTheme="minorHAnsi" w:cstheme="minorHAnsi"/>
                <w:bCs/>
                <w:sz w:val="22"/>
                <w:szCs w:val="22"/>
              </w:rPr>
              <w:t xml:space="preserve">on 21 December 2021 for final determination. However, </w:t>
            </w:r>
            <w:r w:rsidR="00AF74A8" w:rsidRPr="00655978">
              <w:rPr>
                <w:rFonts w:asciiTheme="minorHAnsi" w:hAnsiTheme="minorHAnsi" w:cstheme="minorHAnsi"/>
                <w:bCs/>
                <w:sz w:val="22"/>
                <w:szCs w:val="22"/>
              </w:rPr>
              <w:t>the Authority</w:t>
            </w:r>
            <w:r w:rsidR="009713A9" w:rsidRPr="00655978">
              <w:rPr>
                <w:rFonts w:asciiTheme="minorHAnsi" w:hAnsiTheme="minorHAnsi" w:cstheme="minorHAnsi"/>
                <w:bCs/>
                <w:sz w:val="22"/>
                <w:szCs w:val="22"/>
              </w:rPr>
              <w:t xml:space="preserve"> sent back the change proposal</w:t>
            </w:r>
            <w:r w:rsidR="00AF74A8" w:rsidRPr="00655978">
              <w:rPr>
                <w:rFonts w:asciiTheme="minorHAnsi" w:hAnsiTheme="minorHAnsi" w:cstheme="minorHAnsi"/>
                <w:bCs/>
                <w:sz w:val="22"/>
                <w:szCs w:val="22"/>
              </w:rPr>
              <w:t xml:space="preserve"> in Feb-22</w:t>
            </w:r>
            <w:r w:rsidR="009713A9" w:rsidRPr="00655978">
              <w:rPr>
                <w:rFonts w:asciiTheme="minorHAnsi" w:hAnsiTheme="minorHAnsi" w:cstheme="minorHAnsi"/>
                <w:bCs/>
                <w:sz w:val="22"/>
                <w:szCs w:val="22"/>
              </w:rPr>
              <w:t xml:space="preserve"> for </w:t>
            </w:r>
            <w:r w:rsidR="00AF74A8" w:rsidRPr="00655978">
              <w:rPr>
                <w:rFonts w:asciiTheme="minorHAnsi" w:hAnsiTheme="minorHAnsi" w:cstheme="minorHAnsi"/>
                <w:bCs/>
                <w:sz w:val="22"/>
                <w:szCs w:val="22"/>
              </w:rPr>
              <w:t>further</w:t>
            </w:r>
            <w:r w:rsidR="009713A9" w:rsidRPr="00655978">
              <w:rPr>
                <w:rFonts w:asciiTheme="minorHAnsi" w:hAnsiTheme="minorHAnsi" w:cstheme="minorHAnsi"/>
                <w:bCs/>
                <w:sz w:val="22"/>
                <w:szCs w:val="22"/>
              </w:rPr>
              <w:t xml:space="preserve"> work to be undertaken by the working group in respect of conflicts with another change proposal, </w:t>
            </w:r>
            <w:r w:rsidR="009713A9" w:rsidRPr="00655978">
              <w:rPr>
                <w:rFonts w:asciiTheme="minorHAnsi" w:hAnsiTheme="minorHAnsi" w:cstheme="minorHAnsi"/>
                <w:sz w:val="22"/>
                <w:szCs w:val="22"/>
              </w:rPr>
              <w:t>DCP394 ‘Allow any REC accredited meter operator to de-energise any metering point’</w:t>
            </w:r>
            <w:r w:rsidR="00AF74A8" w:rsidRPr="00655978">
              <w:rPr>
                <w:rFonts w:asciiTheme="minorHAnsi" w:hAnsiTheme="minorHAnsi" w:cstheme="minorHAnsi"/>
                <w:sz w:val="22"/>
                <w:szCs w:val="22"/>
              </w:rPr>
              <w:t>.</w:t>
            </w:r>
          </w:p>
          <w:p w:rsidR="009355D6" w:rsidRPr="00586035" w:rsidRDefault="00586035" w:rsidP="009355D6">
            <w:pPr>
              <w:spacing w:after="120"/>
              <w:jc w:val="left"/>
              <w:rPr>
                <w:rFonts w:ascii="Calibri" w:hAnsi="Calibri"/>
                <w:bCs/>
              </w:rPr>
            </w:pPr>
            <w:r w:rsidRPr="00586035">
              <w:rPr>
                <w:rFonts w:ascii="Calibri" w:hAnsi="Calibri"/>
                <w:bCs/>
              </w:rPr>
              <w:t>Dec-21</w:t>
            </w:r>
            <w:r w:rsidR="009355D6" w:rsidRPr="00586035">
              <w:rPr>
                <w:rFonts w:ascii="Calibri" w:hAnsi="Calibri"/>
                <w:bCs/>
              </w:rPr>
              <w:t xml:space="preserve"> – Following industry consultation this change proposal was issued to </w:t>
            </w:r>
            <w:r w:rsidR="00F45C27" w:rsidRPr="00586035">
              <w:rPr>
                <w:rFonts w:ascii="Calibri" w:hAnsi="Calibri"/>
                <w:bCs/>
              </w:rPr>
              <w:t>p</w:t>
            </w:r>
            <w:r w:rsidR="009355D6" w:rsidRPr="00586035">
              <w:rPr>
                <w:rFonts w:ascii="Calibri" w:hAnsi="Calibri"/>
                <w:bCs/>
              </w:rPr>
              <w:t>arties for voting on 26 November 2021 with votes required by 17 December 2021.</w:t>
            </w:r>
          </w:p>
          <w:p w:rsidR="009355D6" w:rsidRPr="00E121F5" w:rsidRDefault="009355D6" w:rsidP="009355D6">
            <w:pPr>
              <w:spacing w:after="120"/>
              <w:jc w:val="left"/>
              <w:rPr>
                <w:rFonts w:ascii="Calibri" w:hAnsi="Calibri"/>
                <w:b/>
                <w:bCs/>
                <w:highlight w:val="cyan"/>
              </w:rPr>
            </w:pPr>
            <w:r w:rsidRPr="00707ADA">
              <w:rPr>
                <w:rFonts w:ascii="Calibri" w:hAnsi="Calibri"/>
              </w:rPr>
              <w:t xml:space="preserve">The </w:t>
            </w:r>
            <w:r w:rsidR="0094632A" w:rsidRPr="00707ADA">
              <w:rPr>
                <w:rFonts w:ascii="Calibri" w:hAnsi="Calibri"/>
              </w:rPr>
              <w:t xml:space="preserve">working group </w:t>
            </w:r>
            <w:r w:rsidRPr="00707ADA">
              <w:rPr>
                <w:rFonts w:ascii="Calibri" w:hAnsi="Calibri"/>
              </w:rPr>
              <w:t>issued an industry consultation to gauge parties views on the change with responses due back by 14 September 2021.</w:t>
            </w:r>
          </w:p>
        </w:tc>
        <w:tc>
          <w:tcPr>
            <w:tcW w:w="3544" w:type="dxa"/>
          </w:tcPr>
          <w:p w:rsidR="009355D6" w:rsidRPr="00204E2D" w:rsidRDefault="009355D6" w:rsidP="009355D6">
            <w:pPr>
              <w:spacing w:after="120"/>
              <w:jc w:val="left"/>
              <w:rPr>
                <w:rFonts w:ascii="Calibri" w:hAnsi="Calibri"/>
                <w:bCs/>
              </w:rPr>
            </w:pPr>
            <w:r w:rsidRPr="00707ADA">
              <w:rPr>
                <w:rFonts w:ascii="Calibri" w:hAnsi="Calibri"/>
                <w:bCs/>
              </w:rPr>
              <w:t xml:space="preserve">This change will help customers, their electricians and installers of low carbon technologies to have connections de-energised/re-energised in a timely manner where work is required on electrical installations.  This should give some certainty on the timescales for a connection for all customers.   </w:t>
            </w:r>
          </w:p>
        </w:tc>
      </w:tr>
      <w:tr w:rsidR="008776EA" w:rsidTr="00636AE6">
        <w:tc>
          <w:tcPr>
            <w:tcW w:w="1696" w:type="dxa"/>
            <w:shd w:val="pct12" w:color="auto" w:fill="auto"/>
          </w:tcPr>
          <w:p w:rsidR="008776EA" w:rsidRPr="00636AE6" w:rsidRDefault="008776EA" w:rsidP="009355D6">
            <w:pPr>
              <w:spacing w:after="120"/>
              <w:jc w:val="left"/>
              <w:rPr>
                <w:b/>
              </w:rPr>
            </w:pPr>
            <w:r w:rsidRPr="00422D9B">
              <w:rPr>
                <w:b/>
                <w:highlight w:val="cyan"/>
              </w:rPr>
              <w:t xml:space="preserve">DCUSA Change Proposal </w:t>
            </w:r>
            <w:r w:rsidR="003752C1" w:rsidRPr="00422D9B">
              <w:rPr>
                <w:b/>
                <w:highlight w:val="cyan"/>
              </w:rPr>
              <w:t xml:space="preserve">(DCP) 394 </w:t>
            </w:r>
            <w:r w:rsidR="00636AE6" w:rsidRPr="00422D9B">
              <w:rPr>
                <w:b/>
                <w:highlight w:val="cyan"/>
              </w:rPr>
              <w:t>'Allow Any REC Accredited Meter Operator to De-energise Any Metering Point’</w:t>
            </w:r>
          </w:p>
        </w:tc>
        <w:tc>
          <w:tcPr>
            <w:tcW w:w="2552" w:type="dxa"/>
          </w:tcPr>
          <w:p w:rsidR="008776EA" w:rsidRPr="00204E2D" w:rsidRDefault="00636AE6" w:rsidP="009355D6">
            <w:pPr>
              <w:spacing w:after="120"/>
              <w:jc w:val="left"/>
              <w:rPr>
                <w:rFonts w:ascii="Calibri" w:hAnsi="Calibri"/>
                <w:bCs/>
              </w:rPr>
            </w:pPr>
            <w:r w:rsidRPr="00422D9B">
              <w:rPr>
                <w:rFonts w:ascii="Calibri" w:hAnsi="Calibri"/>
                <w:bCs/>
                <w:highlight w:val="cyan"/>
              </w:rPr>
              <w:t>Proposed change under the Distribution Connection &amp; Use of System Agreement (DCUSA)</w:t>
            </w:r>
            <w:r w:rsidRPr="00422D9B">
              <w:rPr>
                <w:highlight w:val="cyan"/>
              </w:rPr>
              <w:t xml:space="preserve"> to widen the scope of DCUSA to allow any Retail Energy Code (REC) accredited meter operator to carry out de-energisation and re-energisation works.</w:t>
            </w:r>
          </w:p>
        </w:tc>
        <w:tc>
          <w:tcPr>
            <w:tcW w:w="1276" w:type="dxa"/>
          </w:tcPr>
          <w:p w:rsidR="008776EA" w:rsidRPr="00204E2D" w:rsidRDefault="00636AE6" w:rsidP="009355D6">
            <w:pPr>
              <w:spacing w:after="120"/>
              <w:jc w:val="left"/>
              <w:rPr>
                <w:rFonts w:ascii="Calibri" w:hAnsi="Calibri"/>
                <w:bCs/>
              </w:rPr>
            </w:pPr>
            <w:r w:rsidRPr="00422D9B">
              <w:rPr>
                <w:rFonts w:ascii="Calibri" w:hAnsi="Calibri"/>
                <w:bCs/>
                <w:highlight w:val="cyan"/>
              </w:rPr>
              <w:t>DCUSA</w:t>
            </w:r>
          </w:p>
        </w:tc>
        <w:tc>
          <w:tcPr>
            <w:tcW w:w="4961" w:type="dxa"/>
          </w:tcPr>
          <w:p w:rsidR="00636AE6" w:rsidRPr="00D31F15" w:rsidRDefault="00636AE6" w:rsidP="00BC1A64">
            <w:pPr>
              <w:jc w:val="left"/>
              <w:rPr>
                <w:b/>
                <w:bCs/>
              </w:rPr>
            </w:pPr>
            <w:r w:rsidRPr="00DA0FC4">
              <w:rPr>
                <w:b/>
                <w:bCs/>
                <w:highlight w:val="cyan"/>
              </w:rPr>
              <w:t>Update</w:t>
            </w:r>
            <w:r w:rsidR="0024613A">
              <w:rPr>
                <w:b/>
                <w:bCs/>
                <w:highlight w:val="cyan"/>
              </w:rPr>
              <w:t xml:space="preserve"> - </w:t>
            </w:r>
            <w:r w:rsidR="00D31F15" w:rsidRPr="00DA0FC4">
              <w:rPr>
                <w:b/>
                <w:bCs/>
                <w:highlight w:val="cyan"/>
              </w:rPr>
              <w:t xml:space="preserve">On the 5 July the working group issued a consultation with responses due by 18 July. The working group </w:t>
            </w:r>
            <w:r w:rsidR="00DA0FC4" w:rsidRPr="00DA0FC4">
              <w:rPr>
                <w:b/>
                <w:bCs/>
                <w:highlight w:val="cyan"/>
              </w:rPr>
              <w:t xml:space="preserve">has </w:t>
            </w:r>
            <w:r w:rsidR="00D31F15" w:rsidRPr="00DA0FC4">
              <w:rPr>
                <w:b/>
                <w:bCs/>
                <w:highlight w:val="cyan"/>
              </w:rPr>
              <w:t>review</w:t>
            </w:r>
            <w:r w:rsidR="00DA0FC4" w:rsidRPr="00DA0FC4">
              <w:rPr>
                <w:b/>
                <w:bCs/>
                <w:highlight w:val="cyan"/>
              </w:rPr>
              <w:t>ed</w:t>
            </w:r>
            <w:r w:rsidR="00D31F15" w:rsidRPr="00DA0FC4">
              <w:rPr>
                <w:b/>
                <w:bCs/>
                <w:highlight w:val="cyan"/>
              </w:rPr>
              <w:t xml:space="preserve"> the responses and </w:t>
            </w:r>
            <w:r w:rsidR="00DA0FC4" w:rsidRPr="00DA0FC4">
              <w:rPr>
                <w:b/>
                <w:bCs/>
                <w:highlight w:val="cyan"/>
              </w:rPr>
              <w:t xml:space="preserve">is now drafting the Change Report in readiness </w:t>
            </w:r>
            <w:r w:rsidR="00DA0FC4">
              <w:rPr>
                <w:b/>
                <w:bCs/>
                <w:highlight w:val="cyan"/>
              </w:rPr>
              <w:t>for</w:t>
            </w:r>
            <w:r w:rsidR="00DA0FC4" w:rsidRPr="00DA0FC4">
              <w:rPr>
                <w:b/>
                <w:bCs/>
                <w:highlight w:val="cyan"/>
              </w:rPr>
              <w:t xml:space="preserve"> the Party voting stage of the process.</w:t>
            </w:r>
          </w:p>
        </w:tc>
        <w:tc>
          <w:tcPr>
            <w:tcW w:w="3544" w:type="dxa"/>
          </w:tcPr>
          <w:p w:rsidR="008776EA" w:rsidRPr="00F4461E" w:rsidDel="00E92567" w:rsidRDefault="00F4461E" w:rsidP="00F4461E">
            <w:pPr>
              <w:pStyle w:val="Default"/>
              <w:rPr>
                <w:rFonts w:asciiTheme="minorHAnsi" w:hAnsiTheme="minorHAnsi" w:cstheme="minorHAnsi"/>
                <w:sz w:val="22"/>
                <w:szCs w:val="22"/>
              </w:rPr>
            </w:pPr>
            <w:r w:rsidRPr="00422D9B">
              <w:rPr>
                <w:rFonts w:asciiTheme="minorHAnsi" w:hAnsiTheme="minorHAnsi" w:cstheme="minorHAnsi"/>
                <w:sz w:val="22"/>
                <w:szCs w:val="22"/>
                <w:highlight w:val="cyan"/>
              </w:rPr>
              <w:t xml:space="preserve">To allow installers of Low </w:t>
            </w:r>
            <w:r w:rsidR="00D31F15" w:rsidRPr="00422D9B">
              <w:rPr>
                <w:rFonts w:asciiTheme="minorHAnsi" w:hAnsiTheme="minorHAnsi" w:cstheme="minorHAnsi"/>
                <w:sz w:val="22"/>
                <w:szCs w:val="22"/>
                <w:highlight w:val="cyan"/>
              </w:rPr>
              <w:t xml:space="preserve">and Zero </w:t>
            </w:r>
            <w:r w:rsidRPr="00422D9B">
              <w:rPr>
                <w:rFonts w:asciiTheme="minorHAnsi" w:hAnsiTheme="minorHAnsi" w:cstheme="minorHAnsi"/>
                <w:sz w:val="22"/>
                <w:szCs w:val="22"/>
                <w:highlight w:val="cyan"/>
              </w:rPr>
              <w:t>Carbon Technologies to arrange isolations for safe working on customers’ electrical installations in a more efficient manner. For example, the meter operator could work on behalf of an EV or heat pump installer or under the direction of a local authority to carry out multiple dwelling refurbishments.</w:t>
            </w:r>
          </w:p>
        </w:tc>
      </w:tr>
      <w:tr w:rsidR="009355D6" w:rsidTr="00767745">
        <w:tc>
          <w:tcPr>
            <w:tcW w:w="1696" w:type="dxa"/>
            <w:shd w:val="pct12" w:color="auto" w:fill="auto"/>
          </w:tcPr>
          <w:p w:rsidR="009355D6" w:rsidRPr="00F36E03" w:rsidRDefault="001A4C9F" w:rsidP="009355D6">
            <w:pPr>
              <w:spacing w:after="120"/>
              <w:jc w:val="left"/>
              <w:rPr>
                <w:rFonts w:ascii="Calibri" w:hAnsi="Calibri"/>
                <w:b/>
                <w:bCs/>
              </w:rPr>
            </w:pPr>
            <w:hyperlink r:id="rId13" w:history="1">
              <w:r w:rsidR="009355D6" w:rsidRPr="00F36E03">
                <w:rPr>
                  <w:rFonts w:ascii="Calibri" w:hAnsi="Calibri"/>
                  <w:b/>
                  <w:u w:val="single"/>
                </w:rPr>
                <w:t>Targeted charging review</w:t>
              </w:r>
              <w:r w:rsidR="009355D6" w:rsidRPr="00F36E03">
                <w:rPr>
                  <w:rFonts w:ascii="Calibri" w:hAnsi="Calibri"/>
                  <w:b/>
                </w:rPr>
                <w:t>: Significant code review</w:t>
              </w:r>
            </w:hyperlink>
            <w:r w:rsidR="009355D6" w:rsidRPr="00F36E03">
              <w:rPr>
                <w:rFonts w:ascii="Calibri" w:hAnsi="Calibri"/>
                <w:b/>
                <w:bCs/>
              </w:rPr>
              <w:t>.</w:t>
            </w:r>
          </w:p>
        </w:tc>
        <w:tc>
          <w:tcPr>
            <w:tcW w:w="2552" w:type="dxa"/>
          </w:tcPr>
          <w:p w:rsidR="009355D6" w:rsidRPr="00204E2D" w:rsidRDefault="009355D6" w:rsidP="009355D6">
            <w:pPr>
              <w:spacing w:after="120"/>
              <w:jc w:val="left"/>
              <w:rPr>
                <w:rFonts w:ascii="Calibri" w:hAnsi="Calibri"/>
                <w:bCs/>
              </w:rPr>
            </w:pPr>
            <w:r w:rsidRPr="00204E2D">
              <w:rPr>
                <w:rFonts w:ascii="Calibri" w:hAnsi="Calibri"/>
                <w:bCs/>
              </w:rPr>
              <w:t>This is Ofgem’s method to review current industry rules/frameworks and this review will focus on:</w:t>
            </w:r>
          </w:p>
          <w:p w:rsidR="009355D6" w:rsidRPr="00204E2D" w:rsidRDefault="009355D6" w:rsidP="009355D6">
            <w:pPr>
              <w:spacing w:after="120"/>
              <w:jc w:val="left"/>
              <w:rPr>
                <w:rFonts w:ascii="Calibri" w:hAnsi="Calibri"/>
                <w:bCs/>
              </w:rPr>
            </w:pPr>
            <w:r w:rsidRPr="00204E2D">
              <w:rPr>
                <w:rFonts w:ascii="Calibri" w:hAnsi="Calibri"/>
                <w:bCs/>
              </w:rPr>
              <w:t>consideration of reform of residual charging for transmission and distribution, for both generation and demand, to ensure it meets the interests of consumers, both now and in future; and</w:t>
            </w:r>
          </w:p>
          <w:p w:rsidR="009355D6" w:rsidRPr="00204E2D" w:rsidRDefault="009355D6" w:rsidP="009355D6">
            <w:pPr>
              <w:spacing w:after="120"/>
              <w:jc w:val="left"/>
              <w:rPr>
                <w:rFonts w:ascii="Calibri" w:hAnsi="Calibri"/>
                <w:bCs/>
              </w:rPr>
            </w:pPr>
            <w:r w:rsidRPr="00204E2D">
              <w:rPr>
                <w:rFonts w:ascii="Calibri" w:hAnsi="Calibri"/>
                <w:bCs/>
              </w:rPr>
              <w:t xml:space="preserve">keeping the other ‘embedded benefits’ that may be distorting investment or dispatch decisions under review. </w:t>
            </w:r>
          </w:p>
          <w:p w:rsidR="009355D6" w:rsidRPr="006D196E" w:rsidRDefault="009355D6" w:rsidP="009355D6">
            <w:pPr>
              <w:spacing w:after="120"/>
              <w:jc w:val="left"/>
              <w:rPr>
                <w:rFonts w:ascii="Calibri" w:hAnsi="Calibri"/>
                <w:b/>
                <w:bCs/>
                <w:highlight w:val="yellow"/>
              </w:rPr>
            </w:pPr>
          </w:p>
        </w:tc>
        <w:tc>
          <w:tcPr>
            <w:tcW w:w="1276" w:type="dxa"/>
          </w:tcPr>
          <w:p w:rsidR="009355D6" w:rsidRPr="00204E2D" w:rsidRDefault="009355D6" w:rsidP="009355D6">
            <w:pPr>
              <w:spacing w:after="120"/>
              <w:jc w:val="left"/>
              <w:rPr>
                <w:rFonts w:ascii="Calibri" w:hAnsi="Calibri"/>
                <w:bCs/>
              </w:rPr>
            </w:pPr>
            <w:r w:rsidRPr="00204E2D">
              <w:rPr>
                <w:rFonts w:ascii="Calibri" w:hAnsi="Calibri"/>
                <w:bCs/>
              </w:rPr>
              <w:t>Ofgem</w:t>
            </w:r>
            <w:r w:rsidRPr="00204E2D">
              <w:rPr>
                <w:rFonts w:ascii="Calibri" w:hAnsi="Calibri"/>
                <w:b/>
                <w:bCs/>
                <w:color w:val="485C6D"/>
              </w:rPr>
              <w:t xml:space="preserve"> </w:t>
            </w:r>
          </w:p>
        </w:tc>
        <w:tc>
          <w:tcPr>
            <w:tcW w:w="4961" w:type="dxa"/>
          </w:tcPr>
          <w:p w:rsidR="00BC1A64" w:rsidRPr="00655978" w:rsidRDefault="00655978" w:rsidP="00BC1A64">
            <w:pPr>
              <w:jc w:val="left"/>
              <w:rPr>
                <w:bCs/>
              </w:rPr>
            </w:pPr>
            <w:r w:rsidRPr="00655978">
              <w:rPr>
                <w:bCs/>
              </w:rPr>
              <w:t>Mar-22</w:t>
            </w:r>
            <w:r w:rsidR="00BC1A64" w:rsidRPr="00655978">
              <w:rPr>
                <w:bCs/>
              </w:rPr>
              <w:t xml:space="preserve"> - The Authority approved the remaining CUSC modifications for implementation on 1 April 2023:</w:t>
            </w:r>
          </w:p>
          <w:p w:rsidR="00BC1A64" w:rsidRPr="00655978" w:rsidRDefault="00BC1A64" w:rsidP="00BC1A64">
            <w:pPr>
              <w:jc w:val="left"/>
              <w:rPr>
                <w:bCs/>
              </w:rPr>
            </w:pPr>
            <w:r w:rsidRPr="00655978">
              <w:rPr>
                <w:bCs/>
              </w:rPr>
              <w:t>CMP343 (WACM2)/CMP340 (Original) - Transmission Demand Residual Bandings and allocation (TCR)</w:t>
            </w:r>
          </w:p>
          <w:p w:rsidR="00BC1A64" w:rsidRPr="00655978" w:rsidRDefault="00BC1A64" w:rsidP="00BC1A64">
            <w:pPr>
              <w:jc w:val="left"/>
              <w:rPr>
                <w:bCs/>
              </w:rPr>
            </w:pPr>
            <w:r w:rsidRPr="00655978">
              <w:rPr>
                <w:bCs/>
              </w:rPr>
              <w:t>CMP335 (Original)/CMP336 (WACM1) - Transmission Demand Residual, billing and consequential changes to CUSC</w:t>
            </w:r>
          </w:p>
          <w:p w:rsidR="009355D6" w:rsidRPr="00707ADA" w:rsidRDefault="009355D6" w:rsidP="009355D6">
            <w:pPr>
              <w:jc w:val="left"/>
              <w:rPr>
                <w:bCs/>
              </w:rPr>
            </w:pPr>
            <w:r w:rsidRPr="00707ADA">
              <w:rPr>
                <w:bCs/>
              </w:rPr>
              <w:t>Sep-21 The decisions on the remaining four modifications were expected on 27 August 2021, but Ofgem has advised that this will now be delayed and hasn’t yet provided an update on when the decisions will be published.</w:t>
            </w:r>
          </w:p>
          <w:p w:rsidR="009355D6" w:rsidRPr="005A4451" w:rsidRDefault="009355D6" w:rsidP="009355D6">
            <w:pPr>
              <w:jc w:val="left"/>
              <w:rPr>
                <w:bCs/>
              </w:rPr>
            </w:pPr>
            <w:r w:rsidRPr="005A4451">
              <w:rPr>
                <w:bCs/>
              </w:rPr>
              <w:t>Jun-21 - Three of the seven Connection &amp; Use of System Code modifications related to the Targeted Charging Review have been approved by Ofgem. The decisions on the remaining four modifications are expected over the coming few months.</w:t>
            </w:r>
          </w:p>
          <w:p w:rsidR="009355D6" w:rsidRPr="000E4993" w:rsidRDefault="009355D6" w:rsidP="009355D6">
            <w:pPr>
              <w:jc w:val="left"/>
              <w:rPr>
                <w:bCs/>
              </w:rPr>
            </w:pPr>
            <w:r w:rsidRPr="00707ADA">
              <w:rPr>
                <w:bCs/>
              </w:rPr>
              <w:t>Jan-21 - All Targeted Charging Review related modifications/change proposals for the Connection &amp; Use of System Code (CUSC) and the Distribution Connection &amp; Use of System Agreement (DCUSA) were submitted to Ofgem for the final decision. Ofgem has already approved the four DCUSA changes and one of the five CUSC modifications.</w:t>
            </w:r>
          </w:p>
          <w:p w:rsidR="009355D6" w:rsidRPr="009C2FA5" w:rsidRDefault="009355D6" w:rsidP="009355D6">
            <w:pPr>
              <w:jc w:val="left"/>
              <w:rPr>
                <w:bCs/>
              </w:rPr>
            </w:pPr>
            <w:r w:rsidRPr="009C2FA5">
              <w:rPr>
                <w:bCs/>
              </w:rPr>
              <w:t xml:space="preserve">In looking at the cross-code implications of the change proposals Ofgem is waiting for the whole </w:t>
            </w:r>
            <w:r w:rsidRPr="009C2FA5">
              <w:rPr>
                <w:bCs/>
              </w:rPr>
              <w:lastRenderedPageBreak/>
              <w:t>suite of these to be submitted before making its final determinations.</w:t>
            </w:r>
          </w:p>
          <w:p w:rsidR="009355D6" w:rsidRPr="009C2FA5" w:rsidRDefault="009355D6" w:rsidP="009355D6">
            <w:pPr>
              <w:jc w:val="left"/>
              <w:rPr>
                <w:bCs/>
              </w:rPr>
            </w:pPr>
            <w:r w:rsidRPr="009C2FA5">
              <w:rPr>
                <w:bCs/>
              </w:rPr>
              <w:t>The code modifications to implement Ofgem’s decision are at different stages of the change process, however some of them are already with Ofgem for final determination.</w:t>
            </w:r>
          </w:p>
          <w:p w:rsidR="009355D6" w:rsidRPr="009C2FA5" w:rsidRDefault="009355D6" w:rsidP="009355D6">
            <w:pPr>
              <w:jc w:val="left"/>
              <w:rPr>
                <w:bCs/>
              </w:rPr>
            </w:pPr>
            <w:r w:rsidRPr="009C2FA5">
              <w:rPr>
                <w:bCs/>
              </w:rPr>
              <w:t>Change Proposals to the relevant industry codes were submitted to the code administrators which resulted in Working Groups being set up to progress these through the change process. Where changes link to other codes care was taken to set up combined Working Groups to avoid the duplication of work.</w:t>
            </w:r>
          </w:p>
          <w:p w:rsidR="009355D6" w:rsidRPr="009C2FA5" w:rsidRDefault="009355D6" w:rsidP="009355D6">
            <w:pPr>
              <w:jc w:val="left"/>
              <w:rPr>
                <w:bCs/>
              </w:rPr>
            </w:pPr>
            <w:r w:rsidRPr="009C2FA5">
              <w:rPr>
                <w:bCs/>
              </w:rPr>
              <w:t xml:space="preserve">Ofgem published its decision on 21 November 2019 and has decided to make changes to the way in which some of the costs of the electricity networks are recovered, so that the ‘residual charges’ are recovered more fairly now and in the future. Fixed charges are to be levied on final demand consumers only and will be implemented for transmission charges in 2021 and for distribution charges in 2022. For distribution charges, domestic customers will pay a single residual charge set for each licensed area and non-domestic customers will be charged </w:t>
            </w:r>
            <w:proofErr w:type="gramStart"/>
            <w:r w:rsidRPr="009C2FA5">
              <w:rPr>
                <w:bCs/>
              </w:rPr>
              <w:t>on the basis of</w:t>
            </w:r>
            <w:proofErr w:type="gramEnd"/>
            <w:r w:rsidRPr="009C2FA5">
              <w:rPr>
                <w:bCs/>
              </w:rPr>
              <w:t xml:space="preserve"> a set of fixed charging bands also set for each Distribution Network Area. Ofgem maintains that its decision is positive news for consumers with the costs of maintaining the electricity grid being spread more fairly and consumers saving £300m per </w:t>
            </w:r>
            <w:r w:rsidRPr="009C2FA5">
              <w:rPr>
                <w:bCs/>
              </w:rPr>
              <w:lastRenderedPageBreak/>
              <w:t>year from 2021, with £4bn-£5bn consumer savings in total over the period to 2040.</w:t>
            </w:r>
          </w:p>
          <w:p w:rsidR="009355D6" w:rsidRPr="00707ADA" w:rsidRDefault="009355D6" w:rsidP="009355D6">
            <w:pPr>
              <w:spacing w:after="120"/>
              <w:jc w:val="left"/>
              <w:rPr>
                <w:rFonts w:ascii="Calibri" w:hAnsi="Calibri"/>
                <w:bCs/>
              </w:rPr>
            </w:pPr>
            <w:r w:rsidRPr="009C2FA5">
              <w:rPr>
                <w:bCs/>
              </w:rPr>
              <w:t>The TCR outcome requires modifications to be raised against relevant industry codes and Ofgem requires National Grid Electricity System Operator (NGESO) and separately, the electricity Distribution Network Operators (DNOs) to work together and bring forward modification proposals to be progressed through workgroups over the next few months and submitted to Ofgem in time to allow implementation within the specified timeframes. Consequently, on the 20 December 2019 the Energy Networks Association, on behalf of NGESO and the DNOs, provided the joint plan to Ofgem setting out how they will work together and collaborate with other relevant industry stakeholders to achieve the timeframes.</w:t>
            </w:r>
          </w:p>
        </w:tc>
        <w:tc>
          <w:tcPr>
            <w:tcW w:w="3544" w:type="dxa"/>
            <w:vAlign w:val="center"/>
          </w:tcPr>
          <w:p w:rsidR="009355D6" w:rsidRPr="00204E2D" w:rsidDel="00E92567" w:rsidRDefault="009355D6" w:rsidP="009355D6">
            <w:pPr>
              <w:jc w:val="left"/>
            </w:pPr>
            <w:r w:rsidDel="00E92567">
              <w:lastRenderedPageBreak/>
              <w:t xml:space="preserve">To spread the </w:t>
            </w:r>
            <w:r w:rsidRPr="00204E2D" w:rsidDel="00E92567">
              <w:t xml:space="preserve">costs of maintaining the electricity grid more fairly </w:t>
            </w:r>
            <w:r w:rsidDel="00E92567">
              <w:t>providing savings for consumers</w:t>
            </w:r>
            <w:r w:rsidRPr="00204E2D" w:rsidDel="00E92567">
              <w:t>.</w:t>
            </w:r>
          </w:p>
          <w:p w:rsidR="009355D6" w:rsidRDefault="009355D6" w:rsidP="009355D6">
            <w:pPr>
              <w:spacing w:after="120"/>
              <w:jc w:val="left"/>
              <w:rPr>
                <w:rFonts w:ascii="Calibri" w:hAnsi="Calibri"/>
                <w:bCs/>
              </w:rPr>
            </w:pPr>
            <w:r>
              <w:rPr>
                <w:rFonts w:ascii="Calibri" w:hAnsi="Calibri"/>
                <w:bCs/>
              </w:rPr>
              <w:t>The objective of both the Target Charging and Access and Forward-looking charges review t</w:t>
            </w:r>
            <w:r w:rsidDel="00E92567">
              <w:rPr>
                <w:rFonts w:ascii="Calibri" w:hAnsi="Calibri"/>
                <w:bCs/>
              </w:rPr>
              <w:t xml:space="preserve">his </w:t>
            </w:r>
            <w:r>
              <w:rPr>
                <w:rFonts w:ascii="Calibri" w:hAnsi="Calibri"/>
                <w:bCs/>
              </w:rPr>
              <w:t>Significant Code Reviews are</w:t>
            </w:r>
            <w:r w:rsidDel="00E92567">
              <w:rPr>
                <w:rFonts w:ascii="Calibri" w:hAnsi="Calibri"/>
                <w:bCs/>
              </w:rPr>
              <w:t xml:space="preserve"> </w:t>
            </w:r>
            <w:r>
              <w:rPr>
                <w:rFonts w:ascii="Calibri" w:hAnsi="Calibri"/>
                <w:bCs/>
              </w:rPr>
              <w:t xml:space="preserve">to </w:t>
            </w:r>
            <w:r w:rsidRPr="00AD3898">
              <w:rPr>
                <w:rFonts w:ascii="Calibri" w:hAnsi="Calibri"/>
                <w:bCs/>
              </w:rPr>
              <w:t>ensur</w:t>
            </w:r>
            <w:r>
              <w:rPr>
                <w:rFonts w:ascii="Calibri" w:hAnsi="Calibri"/>
                <w:bCs/>
              </w:rPr>
              <w:t>e</w:t>
            </w:r>
            <w:r w:rsidRPr="00AD3898">
              <w:rPr>
                <w:rFonts w:ascii="Calibri" w:hAnsi="Calibri"/>
                <w:bCs/>
              </w:rPr>
              <w:t xml:space="preserve"> that electricity networks are used efficiently and flexibly, reflecting users’ needs and allowing consumers to benefit from new technologies and services while avoiding unnecessary costs on energy bills in general</w:t>
            </w:r>
            <w:r>
              <w:rPr>
                <w:rFonts w:ascii="Calibri" w:hAnsi="Calibri"/>
                <w:bCs/>
              </w:rPr>
              <w:t xml:space="preserve">.  </w:t>
            </w:r>
          </w:p>
          <w:p w:rsidR="009355D6" w:rsidRPr="00204E2D" w:rsidRDefault="009355D6" w:rsidP="009355D6">
            <w:pPr>
              <w:spacing w:after="120"/>
              <w:jc w:val="left"/>
              <w:rPr>
                <w:rFonts w:ascii="Calibri" w:hAnsi="Calibri"/>
                <w:bCs/>
              </w:rPr>
            </w:pPr>
            <w:r>
              <w:rPr>
                <w:rFonts w:ascii="Calibri" w:hAnsi="Calibri"/>
                <w:bCs/>
              </w:rPr>
              <w:t>It could significantly affect community energy projects because it may impact the cost of connections and use of network charges paid by demand and generation customers.</w:t>
            </w:r>
          </w:p>
        </w:tc>
      </w:tr>
      <w:bookmarkStart w:id="2" w:name="_Hlk89759287"/>
      <w:tr w:rsidR="009355D6" w:rsidRPr="00315E1C" w:rsidTr="00767745">
        <w:tc>
          <w:tcPr>
            <w:tcW w:w="1696" w:type="dxa"/>
            <w:shd w:val="pct12" w:color="auto" w:fill="auto"/>
          </w:tcPr>
          <w:p w:rsidR="009355D6" w:rsidRPr="00F36E03" w:rsidRDefault="009355D6" w:rsidP="009355D6">
            <w:pPr>
              <w:spacing w:after="120"/>
              <w:jc w:val="left"/>
              <w:rPr>
                <w:rFonts w:ascii="Calibri" w:hAnsi="Calibri"/>
                <w:b/>
                <w:bCs/>
                <w:color w:val="485C6D"/>
              </w:rPr>
            </w:pPr>
            <w:r w:rsidRPr="00F36E03">
              <w:lastRenderedPageBreak/>
              <w:fldChar w:fldCharType="begin"/>
            </w:r>
            <w:r w:rsidRPr="00F36E03">
              <w:rPr>
                <w:b/>
              </w:rPr>
              <w:instrText xml:space="preserve"> HYPERLINK "https://www.ofgem.gov.uk/electricity/retail-market/market-review-and-reform/smarter-markets-programme/switching-programme" </w:instrText>
            </w:r>
            <w:r w:rsidRPr="00F36E03">
              <w:fldChar w:fldCharType="separate"/>
            </w:r>
            <w:r w:rsidRPr="00F36E03">
              <w:rPr>
                <w:rStyle w:val="Hyperlink"/>
                <w:b/>
              </w:rPr>
              <w:t>Switching – Significant Code Review</w:t>
            </w:r>
            <w:r w:rsidRPr="00F36E03">
              <w:rPr>
                <w:rStyle w:val="Hyperlink"/>
                <w:b/>
              </w:rPr>
              <w:fldChar w:fldCharType="end"/>
            </w:r>
            <w:bookmarkEnd w:id="2"/>
          </w:p>
        </w:tc>
        <w:tc>
          <w:tcPr>
            <w:tcW w:w="2552" w:type="dxa"/>
          </w:tcPr>
          <w:p w:rsidR="009355D6" w:rsidRPr="00F4552B" w:rsidRDefault="00186A47" w:rsidP="009355D6">
            <w:pPr>
              <w:spacing w:after="120"/>
              <w:jc w:val="left"/>
              <w:rPr>
                <w:rFonts w:ascii="Calibri" w:hAnsi="Calibri"/>
                <w:bCs/>
              </w:rPr>
            </w:pPr>
            <w:r>
              <w:rPr>
                <w:rFonts w:ascii="Calibri" w:hAnsi="Calibri"/>
                <w:bCs/>
              </w:rPr>
              <w:t xml:space="preserve">Ofgem </w:t>
            </w:r>
            <w:r w:rsidRPr="00186A47">
              <w:rPr>
                <w:rFonts w:ascii="Calibri" w:hAnsi="Calibri"/>
                <w:bCs/>
                <w:highlight w:val="cyan"/>
              </w:rPr>
              <w:t>has</w:t>
            </w:r>
            <w:r>
              <w:rPr>
                <w:rFonts w:ascii="Calibri" w:hAnsi="Calibri"/>
                <w:bCs/>
              </w:rPr>
              <w:t xml:space="preserve"> implement</w:t>
            </w:r>
            <w:r w:rsidRPr="00186A47">
              <w:rPr>
                <w:rFonts w:ascii="Calibri" w:hAnsi="Calibri"/>
                <w:bCs/>
                <w:highlight w:val="cyan"/>
              </w:rPr>
              <w:t>ed</w:t>
            </w:r>
            <w:r w:rsidR="009355D6" w:rsidRPr="00F4552B">
              <w:rPr>
                <w:rFonts w:ascii="Calibri" w:hAnsi="Calibri"/>
                <w:bCs/>
              </w:rPr>
              <w:t xml:space="preserve"> changes to switching arrangements that will enable consumers to switch their energy supplier reliably and quickly. </w:t>
            </w:r>
          </w:p>
          <w:p w:rsidR="009355D6" w:rsidRPr="00204E2D" w:rsidRDefault="009355D6" w:rsidP="009355D6">
            <w:pPr>
              <w:spacing w:after="120"/>
              <w:jc w:val="left"/>
              <w:rPr>
                <w:rFonts w:ascii="Calibri" w:hAnsi="Calibri"/>
                <w:b/>
                <w:bCs/>
                <w:color w:val="485C6D"/>
              </w:rPr>
            </w:pPr>
            <w:r w:rsidRPr="00F4552B">
              <w:rPr>
                <w:rFonts w:ascii="Calibri" w:hAnsi="Calibri"/>
              </w:rPr>
              <w:t xml:space="preserve">The provisions underpinning switching </w:t>
            </w:r>
            <w:r w:rsidR="00186A47" w:rsidRPr="00186A47">
              <w:rPr>
                <w:rFonts w:ascii="Calibri" w:hAnsi="Calibri"/>
                <w:highlight w:val="cyan"/>
              </w:rPr>
              <w:t xml:space="preserve">have </w:t>
            </w:r>
            <w:r w:rsidRPr="00186A47">
              <w:rPr>
                <w:rFonts w:ascii="Calibri" w:hAnsi="Calibri"/>
                <w:highlight w:val="cyan"/>
              </w:rPr>
              <w:t>be</w:t>
            </w:r>
            <w:r w:rsidR="00186A47" w:rsidRPr="00186A47">
              <w:rPr>
                <w:rFonts w:ascii="Calibri" w:hAnsi="Calibri"/>
                <w:highlight w:val="cyan"/>
              </w:rPr>
              <w:t>en</w:t>
            </w:r>
            <w:r w:rsidRPr="00F4552B">
              <w:rPr>
                <w:rFonts w:ascii="Calibri" w:hAnsi="Calibri"/>
              </w:rPr>
              <w:t xml:space="preserve"> included in the Retail Energy Code </w:t>
            </w:r>
            <w:r w:rsidR="00186A47">
              <w:rPr>
                <w:rFonts w:ascii="Calibri" w:hAnsi="Calibri"/>
              </w:rPr>
              <w:t xml:space="preserve">(REC) v3.0. This version </w:t>
            </w:r>
            <w:r w:rsidR="00186A47" w:rsidRPr="00186A47">
              <w:rPr>
                <w:rFonts w:ascii="Calibri" w:hAnsi="Calibri"/>
                <w:highlight w:val="cyan"/>
              </w:rPr>
              <w:t>ca</w:t>
            </w:r>
            <w:r w:rsidRPr="00186A47">
              <w:rPr>
                <w:rFonts w:ascii="Calibri" w:hAnsi="Calibri"/>
                <w:highlight w:val="cyan"/>
              </w:rPr>
              <w:t>me into</w:t>
            </w:r>
            <w:r w:rsidRPr="00F4552B">
              <w:rPr>
                <w:rFonts w:ascii="Calibri" w:hAnsi="Calibri"/>
              </w:rPr>
              <w:t xml:space="preserve"> force at the same </w:t>
            </w:r>
            <w:r w:rsidRPr="00F4552B">
              <w:rPr>
                <w:rFonts w:ascii="Calibri" w:hAnsi="Calibri"/>
              </w:rPr>
              <w:lastRenderedPageBreak/>
              <w:t xml:space="preserve">time as the new switching systems and processes, </w:t>
            </w:r>
            <w:r w:rsidR="00186A47" w:rsidRPr="00186A47">
              <w:rPr>
                <w:rFonts w:ascii="Calibri" w:hAnsi="Calibri"/>
                <w:highlight w:val="cyan"/>
              </w:rPr>
              <w:t>in July 2022.</w:t>
            </w:r>
          </w:p>
        </w:tc>
        <w:tc>
          <w:tcPr>
            <w:tcW w:w="1276" w:type="dxa"/>
          </w:tcPr>
          <w:p w:rsidR="009355D6" w:rsidRPr="00204E2D" w:rsidRDefault="009355D6" w:rsidP="009355D6">
            <w:pPr>
              <w:spacing w:after="120"/>
              <w:jc w:val="left"/>
              <w:rPr>
                <w:rFonts w:ascii="Calibri" w:hAnsi="Calibri"/>
                <w:bCs/>
              </w:rPr>
            </w:pPr>
            <w:r w:rsidRPr="00F4552B">
              <w:rPr>
                <w:rFonts w:ascii="Calibri" w:hAnsi="Calibri"/>
                <w:bCs/>
              </w:rPr>
              <w:lastRenderedPageBreak/>
              <w:t>Ofgem</w:t>
            </w:r>
          </w:p>
        </w:tc>
        <w:tc>
          <w:tcPr>
            <w:tcW w:w="4961" w:type="dxa"/>
          </w:tcPr>
          <w:p w:rsidR="00655978" w:rsidRPr="0024613A" w:rsidRDefault="00655978" w:rsidP="00BC053F">
            <w:pPr>
              <w:spacing w:before="0" w:after="0"/>
              <w:rPr>
                <w:b/>
                <w:bCs/>
              </w:rPr>
            </w:pPr>
            <w:r w:rsidRPr="0024613A">
              <w:rPr>
                <w:b/>
                <w:bCs/>
                <w:highlight w:val="cyan"/>
              </w:rPr>
              <w:t>Update</w:t>
            </w:r>
            <w:r w:rsidR="0024613A" w:rsidRPr="0024613A">
              <w:rPr>
                <w:b/>
                <w:bCs/>
                <w:highlight w:val="cyan"/>
              </w:rPr>
              <w:t xml:space="preserve"> -</w:t>
            </w:r>
            <w:r w:rsidR="0024613A" w:rsidRPr="0024613A">
              <w:rPr>
                <w:b/>
                <w:bCs/>
              </w:rPr>
              <w:t xml:space="preserve"> </w:t>
            </w:r>
            <w:r w:rsidRPr="0024613A">
              <w:rPr>
                <w:b/>
                <w:bCs/>
              </w:rPr>
              <w:t xml:space="preserve"> </w:t>
            </w:r>
          </w:p>
          <w:p w:rsidR="00655978" w:rsidRDefault="00655978" w:rsidP="00BC053F">
            <w:pPr>
              <w:spacing w:before="0" w:after="0"/>
              <w:rPr>
                <w:b/>
                <w:bCs/>
                <w:highlight w:val="cyan"/>
              </w:rPr>
            </w:pPr>
          </w:p>
          <w:p w:rsidR="009355D6" w:rsidRPr="00F4552B" w:rsidRDefault="009355D6" w:rsidP="009355D6">
            <w:pPr>
              <w:spacing w:after="120"/>
              <w:rPr>
                <w:bCs/>
              </w:rPr>
            </w:pPr>
            <w:r w:rsidRPr="00F4552B">
              <w:rPr>
                <w:bCs/>
              </w:rPr>
              <w:t>Ofgem’s timetable:</w:t>
            </w:r>
          </w:p>
          <w:p w:rsidR="008A08A6" w:rsidRPr="00186A47" w:rsidRDefault="009355D6" w:rsidP="008A08A6">
            <w:pPr>
              <w:pStyle w:val="ListParagraph"/>
              <w:numPr>
                <w:ilvl w:val="0"/>
                <w:numId w:val="12"/>
              </w:numPr>
              <w:spacing w:after="120"/>
              <w:jc w:val="left"/>
              <w:rPr>
                <w:b/>
              </w:rPr>
            </w:pPr>
            <w:r w:rsidRPr="00655978">
              <w:rPr>
                <w:bCs/>
              </w:rPr>
              <w:t xml:space="preserve">The </w:t>
            </w:r>
            <w:r w:rsidR="00BC053F" w:rsidRPr="00655978">
              <w:rPr>
                <w:bCs/>
              </w:rPr>
              <w:t>Central Switching Service (CSS), REC v3.0, other consequential code cha</w:t>
            </w:r>
            <w:r w:rsidR="00186A47">
              <w:rPr>
                <w:bCs/>
              </w:rPr>
              <w:t xml:space="preserve">nges and licence changes </w:t>
            </w:r>
            <w:r w:rsidR="00186A47" w:rsidRPr="00186A47">
              <w:rPr>
                <w:bCs/>
                <w:highlight w:val="cyan"/>
              </w:rPr>
              <w:t>took</w:t>
            </w:r>
            <w:r w:rsidR="00BC053F" w:rsidRPr="00655978">
              <w:rPr>
                <w:bCs/>
              </w:rPr>
              <w:t xml:space="preserve"> effect on the CSS Go-Live Date of 18 July</w:t>
            </w:r>
            <w:r w:rsidRPr="00655978">
              <w:rPr>
                <w:bCs/>
              </w:rPr>
              <w:t xml:space="preserve"> 2022.</w:t>
            </w:r>
          </w:p>
          <w:p w:rsidR="008A08A6" w:rsidRPr="00186A47" w:rsidRDefault="00186A47" w:rsidP="008A08A6">
            <w:pPr>
              <w:pStyle w:val="ListParagraph"/>
              <w:numPr>
                <w:ilvl w:val="0"/>
                <w:numId w:val="12"/>
              </w:numPr>
              <w:spacing w:after="120"/>
              <w:jc w:val="left"/>
              <w:rPr>
                <w:rFonts w:cstheme="minorHAnsi"/>
                <w:b/>
              </w:rPr>
            </w:pPr>
            <w:r w:rsidRPr="00186A47">
              <w:rPr>
                <w:rFonts w:cstheme="minorHAnsi"/>
                <w:highlight w:val="cyan"/>
                <w:lang w:val="en"/>
              </w:rPr>
              <w:t xml:space="preserve">Participants in the new </w:t>
            </w:r>
            <w:r w:rsidRPr="00186A47">
              <w:rPr>
                <w:rStyle w:val="Strong"/>
                <w:rFonts w:cstheme="minorHAnsi"/>
                <w:highlight w:val="cyan"/>
                <w:lang w:val="en"/>
              </w:rPr>
              <w:t>switching</w:t>
            </w:r>
            <w:r w:rsidRPr="00186A47">
              <w:rPr>
                <w:rFonts w:cstheme="minorHAnsi"/>
                <w:highlight w:val="cyan"/>
                <w:lang w:val="en"/>
              </w:rPr>
              <w:t xml:space="preserve"> </w:t>
            </w:r>
            <w:r w:rsidRPr="00186A47">
              <w:rPr>
                <w:rFonts w:cstheme="minorHAnsi"/>
                <w:bCs/>
                <w:highlight w:val="cyan"/>
              </w:rPr>
              <w:t xml:space="preserve">arrangements are expected to provide adequate </w:t>
            </w:r>
            <w:r w:rsidRPr="00186A47">
              <w:rPr>
                <w:rFonts w:cstheme="minorHAnsi"/>
                <w:b/>
                <w:highlight w:val="cyan"/>
              </w:rPr>
              <w:t>early</w:t>
            </w:r>
            <w:r w:rsidRPr="00186A47">
              <w:rPr>
                <w:rFonts w:cstheme="minorHAnsi"/>
                <w:bCs/>
                <w:highlight w:val="cyan"/>
              </w:rPr>
              <w:t xml:space="preserve"> </w:t>
            </w:r>
            <w:r w:rsidRPr="00186A47">
              <w:rPr>
                <w:rFonts w:cstheme="minorHAnsi"/>
                <w:b/>
                <w:highlight w:val="cyan"/>
              </w:rPr>
              <w:t>life</w:t>
            </w:r>
            <w:r w:rsidRPr="00186A47">
              <w:rPr>
                <w:rFonts w:cstheme="minorHAnsi"/>
                <w:bCs/>
                <w:highlight w:val="cyan"/>
              </w:rPr>
              <w:t xml:space="preserve"> </w:t>
            </w:r>
            <w:r w:rsidRPr="00186A47">
              <w:rPr>
                <w:rFonts w:cstheme="minorHAnsi"/>
                <w:b/>
                <w:highlight w:val="cyan"/>
              </w:rPr>
              <w:t>support</w:t>
            </w:r>
            <w:r w:rsidRPr="00186A47">
              <w:rPr>
                <w:rFonts w:cstheme="minorHAnsi"/>
                <w:bCs/>
                <w:highlight w:val="cyan"/>
              </w:rPr>
              <w:t xml:space="preserve"> for the roles that they cover within the new </w:t>
            </w:r>
            <w:r w:rsidRPr="00186A47">
              <w:rPr>
                <w:rFonts w:cstheme="minorHAnsi"/>
                <w:b/>
                <w:highlight w:val="cyan"/>
              </w:rPr>
              <w:t>switching</w:t>
            </w:r>
            <w:r w:rsidRPr="00186A47">
              <w:rPr>
                <w:rFonts w:cstheme="minorHAnsi"/>
                <w:bCs/>
                <w:highlight w:val="cyan"/>
              </w:rPr>
              <w:t xml:space="preserve"> arrangements to ensure that they </w:t>
            </w:r>
            <w:r w:rsidRPr="00186A47">
              <w:rPr>
                <w:rFonts w:cstheme="minorHAnsi"/>
                <w:bCs/>
                <w:highlight w:val="cyan"/>
              </w:rPr>
              <w:lastRenderedPageBreak/>
              <w:t>function properly in the immediate post</w:t>
            </w:r>
            <w:proofErr w:type="gramStart"/>
            <w:r w:rsidRPr="00186A47">
              <w:rPr>
                <w:rFonts w:cstheme="minorHAnsi"/>
                <w:bCs/>
                <w:highlight w:val="cyan"/>
              </w:rPr>
              <w:t>-‘</w:t>
            </w:r>
            <w:proofErr w:type="gramEnd"/>
            <w:r w:rsidRPr="00186A47">
              <w:rPr>
                <w:rFonts w:cstheme="minorHAnsi"/>
                <w:bCs/>
                <w:highlight w:val="cyan"/>
              </w:rPr>
              <w:t>go live’ period.</w:t>
            </w:r>
          </w:p>
        </w:tc>
        <w:tc>
          <w:tcPr>
            <w:tcW w:w="3544" w:type="dxa"/>
          </w:tcPr>
          <w:p w:rsidR="009355D6" w:rsidRPr="009E5EB0" w:rsidRDefault="009355D6" w:rsidP="009355D6">
            <w:pPr>
              <w:spacing w:after="120"/>
              <w:rPr>
                <w:bCs/>
              </w:rPr>
            </w:pPr>
            <w:r w:rsidRPr="009E5EB0">
              <w:rPr>
                <w:bCs/>
              </w:rPr>
              <w:lastRenderedPageBreak/>
              <w:t>T</w:t>
            </w:r>
            <w:r w:rsidR="00186A47">
              <w:rPr>
                <w:bCs/>
              </w:rPr>
              <w:t xml:space="preserve">he rationale for intervention </w:t>
            </w:r>
            <w:r w:rsidR="00186A47" w:rsidRPr="00186A47">
              <w:rPr>
                <w:bCs/>
                <w:highlight w:val="cyan"/>
              </w:rPr>
              <w:t>was</w:t>
            </w:r>
            <w:r w:rsidRPr="009E5EB0">
              <w:rPr>
                <w:bCs/>
              </w:rPr>
              <w:t xml:space="preserve"> the current switching arrangements result in negative outcomes for some consumers and were designed in the last century and potentially act as a brake on innovation. </w:t>
            </w:r>
          </w:p>
          <w:p w:rsidR="009355D6" w:rsidRDefault="009355D6" w:rsidP="009355D6">
            <w:pPr>
              <w:spacing w:after="120"/>
              <w:jc w:val="left"/>
              <w:rPr>
                <w:rFonts w:ascii="Calibri" w:hAnsi="Calibri"/>
                <w:bCs/>
              </w:rPr>
            </w:pPr>
          </w:p>
        </w:tc>
      </w:tr>
      <w:tr w:rsidR="00206040" w:rsidRPr="00BC443B" w:rsidTr="00767745">
        <w:tc>
          <w:tcPr>
            <w:tcW w:w="1696" w:type="dxa"/>
            <w:shd w:val="pct12" w:color="auto" w:fill="auto"/>
          </w:tcPr>
          <w:p w:rsidR="00206040" w:rsidRPr="00F36E03" w:rsidRDefault="001A4C9F" w:rsidP="009355D6">
            <w:pPr>
              <w:spacing w:after="120"/>
              <w:jc w:val="left"/>
              <w:rPr>
                <w:b/>
                <w:highlight w:val="cyan"/>
              </w:rPr>
            </w:pPr>
            <w:hyperlink r:id="rId14" w:history="1">
              <w:r w:rsidR="00206040" w:rsidRPr="00F36E03">
                <w:rPr>
                  <w:rStyle w:val="Hyperlink"/>
                  <w:b/>
                </w:rPr>
                <w:t>Reforming the Energy Codes – Significant Code Review</w:t>
              </w:r>
            </w:hyperlink>
          </w:p>
        </w:tc>
        <w:tc>
          <w:tcPr>
            <w:tcW w:w="2552" w:type="dxa"/>
            <w:shd w:val="clear" w:color="auto" w:fill="auto"/>
          </w:tcPr>
          <w:p w:rsidR="00206040" w:rsidRPr="00BC443B" w:rsidRDefault="00206040" w:rsidP="009355D6">
            <w:pPr>
              <w:autoSpaceDE w:val="0"/>
              <w:autoSpaceDN w:val="0"/>
              <w:adjustRightInd w:val="0"/>
              <w:spacing w:before="0" w:after="0"/>
              <w:jc w:val="left"/>
              <w:rPr>
                <w:rFonts w:ascii="Calibri" w:hAnsi="Calibri"/>
                <w:highlight w:val="cyan"/>
              </w:rPr>
            </w:pPr>
            <w:r w:rsidRPr="00BC443B">
              <w:rPr>
                <w:rFonts w:ascii="Calibri" w:hAnsi="Calibri"/>
                <w:highlight w:val="cyan"/>
              </w:rPr>
              <w:t xml:space="preserve"> </w:t>
            </w:r>
            <w:r w:rsidRPr="003B7BED">
              <w:rPr>
                <w:rFonts w:ascii="Calibri" w:hAnsi="Calibri"/>
              </w:rPr>
              <w:t xml:space="preserve">BEIS and Ofgem are </w:t>
            </w:r>
            <w:r w:rsidR="00C67412" w:rsidRPr="003B7BED">
              <w:t xml:space="preserve">jointly developing options for improving the 12 gas and electricity </w:t>
            </w:r>
            <w:r w:rsidR="00BC443B" w:rsidRPr="003B7BED">
              <w:t xml:space="preserve">codes and relevant engineering standards </w:t>
            </w:r>
            <w:r w:rsidR="00C67412" w:rsidRPr="003B7BED">
              <w:t>and their governance (7 code managers and 5 delivery bodies).</w:t>
            </w:r>
          </w:p>
        </w:tc>
        <w:tc>
          <w:tcPr>
            <w:tcW w:w="1276" w:type="dxa"/>
          </w:tcPr>
          <w:p w:rsidR="00206040" w:rsidRPr="00BC443B" w:rsidRDefault="00206040" w:rsidP="009355D6">
            <w:pPr>
              <w:spacing w:after="120"/>
              <w:jc w:val="left"/>
              <w:rPr>
                <w:rFonts w:ascii="Calibri" w:hAnsi="Calibri"/>
                <w:bCs/>
                <w:highlight w:val="cyan"/>
              </w:rPr>
            </w:pPr>
          </w:p>
        </w:tc>
        <w:tc>
          <w:tcPr>
            <w:tcW w:w="4961" w:type="dxa"/>
            <w:shd w:val="clear" w:color="auto" w:fill="auto"/>
          </w:tcPr>
          <w:p w:rsidR="00655978" w:rsidRDefault="00655978" w:rsidP="00C67412">
            <w:pPr>
              <w:spacing w:before="0" w:after="0"/>
              <w:rPr>
                <w:highlight w:val="cyan"/>
              </w:rPr>
            </w:pPr>
          </w:p>
          <w:p w:rsidR="00C67412" w:rsidRPr="008A08A6" w:rsidRDefault="00C67412" w:rsidP="00C67412">
            <w:pPr>
              <w:spacing w:before="0" w:after="0"/>
            </w:pPr>
            <w:r w:rsidRPr="008A08A6">
              <w:t xml:space="preserve">This </w:t>
            </w:r>
            <w:r w:rsidR="00FE6776" w:rsidRPr="008A08A6">
              <w:t>is one of the slower moving SCRs</w:t>
            </w:r>
            <w:r w:rsidRPr="008A08A6">
              <w:t>, work to date by BEIS and Ofgem includes:</w:t>
            </w:r>
          </w:p>
          <w:p w:rsidR="00C67412" w:rsidRPr="008A08A6" w:rsidRDefault="00C67412" w:rsidP="00C67412">
            <w:pPr>
              <w:pStyle w:val="ListParagraph"/>
              <w:numPr>
                <w:ilvl w:val="0"/>
                <w:numId w:val="12"/>
              </w:numPr>
              <w:spacing w:before="0" w:after="0"/>
            </w:pPr>
            <w:r w:rsidRPr="008A08A6">
              <w:t xml:space="preserve">In 2019,  and invite to a series of </w:t>
            </w:r>
            <w:hyperlink r:id="rId15" w:history="1">
              <w:r w:rsidRPr="008A08A6">
                <w:rPr>
                  <w:rStyle w:val="Hyperlink"/>
                </w:rPr>
                <w:t>workshops</w:t>
              </w:r>
            </w:hyperlink>
            <w:r w:rsidRPr="008A08A6">
              <w:t xml:space="preserve"> and the publication of a first </w:t>
            </w:r>
            <w:hyperlink r:id="rId16" w:history="1">
              <w:r w:rsidRPr="008A08A6">
                <w:rPr>
                  <w:rStyle w:val="Hyperlink"/>
                </w:rPr>
                <w:t>consultation</w:t>
              </w:r>
            </w:hyperlink>
            <w:r w:rsidRPr="008A08A6">
              <w:t xml:space="preserve"> on this SCR proposed reforms in four areas: providing 1) strategic direction, 2) empowering and accountable code management, 3) increase independence of decision-making and 4) code simplification and consolidation). </w:t>
            </w:r>
          </w:p>
          <w:p w:rsidR="00C67412" w:rsidRPr="008A08A6" w:rsidRDefault="00C67412" w:rsidP="009355D6">
            <w:pPr>
              <w:pStyle w:val="ListParagraph"/>
              <w:numPr>
                <w:ilvl w:val="0"/>
                <w:numId w:val="12"/>
              </w:numPr>
              <w:spacing w:after="120"/>
            </w:pPr>
            <w:r w:rsidRPr="008A08A6">
              <w:t xml:space="preserve">In 2020, the </w:t>
            </w:r>
            <w:hyperlink r:id="rId17" w:history="1">
              <w:r w:rsidRPr="008A08A6">
                <w:rPr>
                  <w:rStyle w:val="Hyperlink"/>
                </w:rPr>
                <w:t>summary of responses</w:t>
              </w:r>
            </w:hyperlink>
            <w:r w:rsidRPr="008A08A6">
              <w:t xml:space="preserve"> to the first consultation</w:t>
            </w:r>
          </w:p>
          <w:p w:rsidR="00664C29" w:rsidRPr="008A08A6" w:rsidRDefault="00C67412" w:rsidP="00664C29">
            <w:pPr>
              <w:pStyle w:val="ListParagraph"/>
              <w:numPr>
                <w:ilvl w:val="0"/>
                <w:numId w:val="12"/>
              </w:numPr>
              <w:spacing w:after="120"/>
            </w:pPr>
            <w:r w:rsidRPr="008A08A6">
              <w:t xml:space="preserve">In 2021, the publication of a second </w:t>
            </w:r>
            <w:hyperlink r:id="rId18" w:history="1">
              <w:r w:rsidRPr="008A08A6">
                <w:rPr>
                  <w:rStyle w:val="Hyperlink"/>
                </w:rPr>
                <w:t>consultation</w:t>
              </w:r>
            </w:hyperlink>
            <w:r w:rsidRPr="008A08A6">
              <w:t xml:space="preserve">, </w:t>
            </w:r>
            <w:hyperlink r:id="rId19" w:history="1">
              <w:r w:rsidRPr="008A08A6">
                <w:rPr>
                  <w:rStyle w:val="Hyperlink"/>
                </w:rPr>
                <w:t>impact assessment</w:t>
              </w:r>
            </w:hyperlink>
            <w:r w:rsidRPr="008A08A6">
              <w:t xml:space="preserve"> an workshop </w:t>
            </w:r>
            <w:hyperlink r:id="rId20" w:history="1">
              <w:r w:rsidRPr="008A08A6">
                <w:rPr>
                  <w:rStyle w:val="Hyperlink"/>
                </w:rPr>
                <w:t>invite</w:t>
              </w:r>
            </w:hyperlink>
            <w:r w:rsidRPr="008A08A6">
              <w:t xml:space="preserve"> on the design and delivery of the reform. </w:t>
            </w:r>
            <w:r w:rsidR="00FE6776" w:rsidRPr="008A08A6">
              <w:t>In their design they set out their preferred option is for Ofgem to be designated as a ‘strategic body’ over the energy codes with separate code managers.</w:t>
            </w:r>
          </w:p>
          <w:p w:rsidR="003B7BED" w:rsidRPr="008A08A6" w:rsidRDefault="003B7BED" w:rsidP="00664C29">
            <w:pPr>
              <w:pStyle w:val="ListParagraph"/>
              <w:numPr>
                <w:ilvl w:val="0"/>
                <w:numId w:val="12"/>
              </w:numPr>
              <w:spacing w:after="120"/>
            </w:pPr>
            <w:r w:rsidRPr="008A08A6">
              <w:t xml:space="preserve">In 2022, </w:t>
            </w:r>
            <w:r w:rsidR="00664C29" w:rsidRPr="008A08A6">
              <w:t xml:space="preserve">BEIS/Ofgem published their </w:t>
            </w:r>
            <w:hyperlink r:id="rId21" w:history="1">
              <w:r w:rsidR="00664C29" w:rsidRPr="008A08A6">
                <w:rPr>
                  <w:rStyle w:val="Hyperlink"/>
                </w:rPr>
                <w:t>response</w:t>
              </w:r>
            </w:hyperlink>
            <w:r w:rsidR="00664C29" w:rsidRPr="008A08A6">
              <w:t xml:space="preserve"> to both the 2019 and 2021 consultations and also to set out some high-level details on their legislative proposals. </w:t>
            </w:r>
          </w:p>
          <w:p w:rsidR="00206040" w:rsidRPr="008A08A6" w:rsidRDefault="00D9201F" w:rsidP="009355D6">
            <w:pPr>
              <w:spacing w:after="120"/>
              <w:rPr>
                <w:bCs/>
              </w:rPr>
            </w:pPr>
            <w:r w:rsidRPr="008A08A6">
              <w:rPr>
                <w:bCs/>
              </w:rPr>
              <w:t xml:space="preserve">BEIS and Ofgem </w:t>
            </w:r>
            <w:r w:rsidR="00664C29" w:rsidRPr="008A08A6">
              <w:rPr>
                <w:bCs/>
              </w:rPr>
              <w:t xml:space="preserve">updated </w:t>
            </w:r>
            <w:r w:rsidRPr="008A08A6">
              <w:rPr>
                <w:bCs/>
              </w:rPr>
              <w:t>timetable:</w:t>
            </w:r>
          </w:p>
          <w:p w:rsidR="00664C29" w:rsidRPr="008A08A6" w:rsidRDefault="00664C29" w:rsidP="00664C29">
            <w:pPr>
              <w:numPr>
                <w:ilvl w:val="0"/>
                <w:numId w:val="20"/>
              </w:numPr>
              <w:spacing w:before="0" w:after="0"/>
              <w:jc w:val="left"/>
              <w:rPr>
                <w:rFonts w:eastAsia="Times New Roman"/>
              </w:rPr>
            </w:pPr>
            <w:r w:rsidRPr="008A08A6">
              <w:rPr>
                <w:rFonts w:eastAsia="Times New Roman"/>
              </w:rPr>
              <w:t>2022 – Engagement on the following topics:</w:t>
            </w:r>
          </w:p>
          <w:p w:rsidR="00664C29" w:rsidRPr="008A08A6" w:rsidRDefault="00664C29" w:rsidP="00664C29">
            <w:pPr>
              <w:numPr>
                <w:ilvl w:val="0"/>
                <w:numId w:val="22"/>
              </w:numPr>
              <w:spacing w:before="0" w:after="0"/>
              <w:jc w:val="left"/>
              <w:rPr>
                <w:rFonts w:eastAsia="Times New Roman"/>
              </w:rPr>
            </w:pPr>
            <w:r w:rsidRPr="008A08A6">
              <w:rPr>
                <w:rFonts w:eastAsia="Times New Roman"/>
              </w:rPr>
              <w:t>Detailed elements of code reform</w:t>
            </w:r>
          </w:p>
          <w:p w:rsidR="00664C29" w:rsidRPr="008A08A6" w:rsidRDefault="00664C29" w:rsidP="00664C29">
            <w:pPr>
              <w:numPr>
                <w:ilvl w:val="0"/>
                <w:numId w:val="22"/>
              </w:numPr>
              <w:spacing w:before="0" w:after="0"/>
              <w:jc w:val="left"/>
              <w:rPr>
                <w:rFonts w:eastAsia="Times New Roman"/>
              </w:rPr>
            </w:pPr>
            <w:r w:rsidRPr="008A08A6">
              <w:rPr>
                <w:rFonts w:eastAsia="Times New Roman"/>
              </w:rPr>
              <w:t>Roles of Stakeholder Advisory Forums (as industry will no longer have a seat on Code Panels)</w:t>
            </w:r>
          </w:p>
          <w:p w:rsidR="00664C29" w:rsidRPr="008A08A6" w:rsidRDefault="00664C29" w:rsidP="00664C29">
            <w:pPr>
              <w:numPr>
                <w:ilvl w:val="0"/>
                <w:numId w:val="22"/>
              </w:numPr>
              <w:spacing w:before="0" w:after="0"/>
              <w:jc w:val="left"/>
              <w:rPr>
                <w:rFonts w:eastAsia="Times New Roman"/>
              </w:rPr>
            </w:pPr>
            <w:r w:rsidRPr="008A08A6">
              <w:rPr>
                <w:rFonts w:eastAsia="Times New Roman"/>
              </w:rPr>
              <w:lastRenderedPageBreak/>
              <w:t xml:space="preserve">Development of a </w:t>
            </w:r>
            <w:proofErr w:type="gramStart"/>
            <w:r w:rsidRPr="008A08A6">
              <w:rPr>
                <w:rFonts w:eastAsia="Times New Roman"/>
              </w:rPr>
              <w:t>high level</w:t>
            </w:r>
            <w:proofErr w:type="gramEnd"/>
            <w:r w:rsidRPr="008A08A6">
              <w:rPr>
                <w:rFonts w:eastAsia="Times New Roman"/>
              </w:rPr>
              <w:t xml:space="preserve"> plan for code consolidation</w:t>
            </w:r>
          </w:p>
          <w:p w:rsidR="00664C29" w:rsidRPr="008A08A6" w:rsidRDefault="00664C29" w:rsidP="00664C29">
            <w:pPr>
              <w:numPr>
                <w:ilvl w:val="0"/>
                <w:numId w:val="22"/>
              </w:numPr>
              <w:spacing w:before="0" w:after="0"/>
              <w:jc w:val="left"/>
              <w:rPr>
                <w:rFonts w:eastAsia="Times New Roman"/>
              </w:rPr>
            </w:pPr>
            <w:r w:rsidRPr="008A08A6">
              <w:rPr>
                <w:rFonts w:eastAsia="Times New Roman"/>
              </w:rPr>
              <w:t>Open letter from Ofgem on its intended approach to implementation, transitions and stakeholder engagement</w:t>
            </w:r>
          </w:p>
          <w:p w:rsidR="00664C29" w:rsidRPr="008A08A6" w:rsidRDefault="00664C29" w:rsidP="00664C29">
            <w:pPr>
              <w:numPr>
                <w:ilvl w:val="0"/>
                <w:numId w:val="20"/>
              </w:numPr>
              <w:spacing w:before="0" w:after="0"/>
              <w:jc w:val="left"/>
              <w:rPr>
                <w:rFonts w:eastAsia="Times New Roman"/>
              </w:rPr>
            </w:pPr>
            <w:r w:rsidRPr="008A08A6">
              <w:rPr>
                <w:rFonts w:eastAsia="Times New Roman"/>
              </w:rPr>
              <w:t>2022- 23 - Primary legislation changes  </w:t>
            </w:r>
          </w:p>
          <w:p w:rsidR="00664C29" w:rsidRPr="008A08A6" w:rsidRDefault="00664C29" w:rsidP="00664C29">
            <w:pPr>
              <w:numPr>
                <w:ilvl w:val="0"/>
                <w:numId w:val="20"/>
              </w:numPr>
              <w:spacing w:before="0" w:after="0"/>
              <w:jc w:val="left"/>
              <w:rPr>
                <w:rFonts w:eastAsia="Times New Roman"/>
              </w:rPr>
            </w:pPr>
            <w:r w:rsidRPr="008A08A6">
              <w:rPr>
                <w:rFonts w:eastAsia="Times New Roman"/>
              </w:rPr>
              <w:t xml:space="preserve">2023 - Ofgem new strategic function established </w:t>
            </w:r>
          </w:p>
          <w:p w:rsidR="00C67412" w:rsidRPr="008A08A6" w:rsidRDefault="00664C29" w:rsidP="008A08A6">
            <w:pPr>
              <w:numPr>
                <w:ilvl w:val="0"/>
                <w:numId w:val="20"/>
              </w:numPr>
              <w:spacing w:before="0" w:after="0"/>
              <w:jc w:val="left"/>
              <w:rPr>
                <w:rFonts w:eastAsia="Times New Roman"/>
              </w:rPr>
            </w:pPr>
            <w:r w:rsidRPr="008A08A6">
              <w:rPr>
                <w:rFonts w:eastAsia="Times New Roman"/>
              </w:rPr>
              <w:t>2023 onwards – changes to licences, codes and contracts to facilitate transition</w:t>
            </w:r>
          </w:p>
          <w:p w:rsidR="00D9201F" w:rsidRPr="00BC443B" w:rsidRDefault="00D9201F" w:rsidP="009355D6">
            <w:pPr>
              <w:spacing w:after="120"/>
              <w:rPr>
                <w:b/>
                <w:bCs/>
                <w:highlight w:val="cyan"/>
              </w:rPr>
            </w:pPr>
          </w:p>
        </w:tc>
        <w:tc>
          <w:tcPr>
            <w:tcW w:w="3544" w:type="dxa"/>
          </w:tcPr>
          <w:p w:rsidR="00206040" w:rsidRPr="00F36E03" w:rsidRDefault="00FE6776" w:rsidP="009355D6">
            <w:pPr>
              <w:pStyle w:val="Default"/>
              <w:rPr>
                <w:rFonts w:asciiTheme="minorHAnsi" w:hAnsiTheme="minorHAnsi" w:cstheme="minorBidi"/>
                <w:bCs/>
                <w:color w:val="auto"/>
                <w:sz w:val="22"/>
                <w:szCs w:val="22"/>
              </w:rPr>
            </w:pPr>
            <w:r w:rsidRPr="00F36E03">
              <w:rPr>
                <w:rFonts w:asciiTheme="minorHAnsi" w:hAnsiTheme="minorHAnsi" w:cstheme="minorBidi"/>
                <w:bCs/>
                <w:color w:val="auto"/>
                <w:sz w:val="22"/>
                <w:szCs w:val="22"/>
              </w:rPr>
              <w:lastRenderedPageBreak/>
              <w:t>The rationale for intervention is to allow the codes to facilitate the significant changes required to transition to a cleaner energy system, such as code consolidation and simplification.</w:t>
            </w:r>
          </w:p>
          <w:p w:rsidR="00FE6776" w:rsidRPr="00BC443B" w:rsidRDefault="00FE6776" w:rsidP="009355D6">
            <w:pPr>
              <w:pStyle w:val="Default"/>
              <w:rPr>
                <w:rFonts w:asciiTheme="minorHAnsi" w:hAnsiTheme="minorHAnsi" w:cstheme="minorBidi"/>
                <w:bCs/>
                <w:color w:val="auto"/>
                <w:sz w:val="22"/>
                <w:szCs w:val="22"/>
                <w:highlight w:val="cyan"/>
              </w:rPr>
            </w:pPr>
          </w:p>
          <w:p w:rsidR="00FE6776" w:rsidRPr="00F36E03" w:rsidRDefault="00FE6776" w:rsidP="009355D6">
            <w:pPr>
              <w:pStyle w:val="Default"/>
              <w:rPr>
                <w:rFonts w:asciiTheme="minorHAnsi" w:hAnsiTheme="minorHAnsi" w:cstheme="minorBidi"/>
                <w:bCs/>
                <w:color w:val="auto"/>
                <w:sz w:val="22"/>
                <w:szCs w:val="22"/>
              </w:rPr>
            </w:pPr>
            <w:r w:rsidRPr="00F36E03">
              <w:rPr>
                <w:rFonts w:asciiTheme="minorHAnsi" w:hAnsiTheme="minorHAnsi" w:cstheme="minorBidi"/>
                <w:bCs/>
                <w:color w:val="auto"/>
                <w:sz w:val="22"/>
                <w:szCs w:val="22"/>
              </w:rPr>
              <w:t xml:space="preserve">The benefits to consumers and industry </w:t>
            </w:r>
            <w:r w:rsidR="00BC443B" w:rsidRPr="00F36E03">
              <w:rPr>
                <w:rFonts w:asciiTheme="minorHAnsi" w:hAnsiTheme="minorHAnsi" w:cstheme="minorBidi"/>
                <w:bCs/>
                <w:color w:val="auto"/>
                <w:sz w:val="22"/>
                <w:szCs w:val="22"/>
              </w:rPr>
              <w:t>would be to lower</w:t>
            </w:r>
            <w:r w:rsidRPr="00F36E03">
              <w:rPr>
                <w:rFonts w:asciiTheme="minorHAnsi" w:hAnsiTheme="minorHAnsi" w:cstheme="minorBidi"/>
                <w:bCs/>
                <w:color w:val="auto"/>
                <w:sz w:val="22"/>
                <w:szCs w:val="22"/>
              </w:rPr>
              <w:t xml:space="preserve"> ba</w:t>
            </w:r>
            <w:r w:rsidR="00BC443B" w:rsidRPr="00F36E03">
              <w:rPr>
                <w:rFonts w:asciiTheme="minorHAnsi" w:hAnsiTheme="minorHAnsi" w:cstheme="minorBidi"/>
                <w:bCs/>
                <w:color w:val="auto"/>
                <w:sz w:val="22"/>
                <w:szCs w:val="22"/>
              </w:rPr>
              <w:t>rriers to competition, improve</w:t>
            </w:r>
            <w:r w:rsidRPr="00F36E03">
              <w:rPr>
                <w:rFonts w:asciiTheme="minorHAnsi" w:hAnsiTheme="minorHAnsi" w:cstheme="minorBidi"/>
                <w:bCs/>
                <w:color w:val="auto"/>
                <w:sz w:val="22"/>
                <w:szCs w:val="22"/>
              </w:rPr>
              <w:t xml:space="preserve"> transparency </w:t>
            </w:r>
            <w:r w:rsidR="00BC443B" w:rsidRPr="00F36E03">
              <w:rPr>
                <w:rFonts w:asciiTheme="minorHAnsi" w:hAnsiTheme="minorHAnsi" w:cstheme="minorBidi"/>
                <w:bCs/>
                <w:color w:val="auto"/>
                <w:sz w:val="22"/>
                <w:szCs w:val="22"/>
              </w:rPr>
              <w:t xml:space="preserve">and accountability, and drive </w:t>
            </w:r>
            <w:r w:rsidRPr="00F36E03">
              <w:rPr>
                <w:rFonts w:asciiTheme="minorHAnsi" w:hAnsiTheme="minorHAnsi" w:cstheme="minorBidi"/>
                <w:bCs/>
                <w:color w:val="auto"/>
                <w:sz w:val="22"/>
                <w:szCs w:val="22"/>
              </w:rPr>
              <w:t>innovation.</w:t>
            </w:r>
          </w:p>
          <w:p w:rsidR="00BC443B" w:rsidRPr="00F36E03" w:rsidRDefault="00BC443B" w:rsidP="009355D6">
            <w:pPr>
              <w:pStyle w:val="Default"/>
              <w:rPr>
                <w:rFonts w:asciiTheme="minorHAnsi" w:hAnsiTheme="minorHAnsi" w:cstheme="minorBidi"/>
                <w:bCs/>
                <w:color w:val="auto"/>
                <w:sz w:val="22"/>
                <w:szCs w:val="22"/>
              </w:rPr>
            </w:pPr>
          </w:p>
          <w:p w:rsidR="00BC443B" w:rsidRPr="00BC443B" w:rsidRDefault="00BC443B" w:rsidP="009355D6">
            <w:pPr>
              <w:pStyle w:val="Default"/>
              <w:rPr>
                <w:sz w:val="22"/>
                <w:szCs w:val="22"/>
                <w:highlight w:val="cyan"/>
              </w:rPr>
            </w:pPr>
            <w:r w:rsidRPr="00F36E03">
              <w:rPr>
                <w:rFonts w:asciiTheme="minorHAnsi" w:hAnsiTheme="minorHAnsi" w:cstheme="minorBidi"/>
                <w:bCs/>
                <w:color w:val="auto"/>
                <w:sz w:val="22"/>
                <w:szCs w:val="22"/>
              </w:rPr>
              <w:t xml:space="preserve">BEIS and Ofgem believe the new code governance framework, with the right roles and responsibilities, has the potential to play a vital role at this critical time for our energy system by helping to bring all greenhouse gas emissions to net zero by </w:t>
            </w:r>
            <w:r w:rsidRPr="008A08A6">
              <w:rPr>
                <w:rFonts w:asciiTheme="minorHAnsi" w:hAnsiTheme="minorHAnsi" w:cstheme="minorBidi"/>
                <w:bCs/>
                <w:color w:val="auto"/>
                <w:sz w:val="22"/>
                <w:szCs w:val="22"/>
              </w:rPr>
              <w:t>2050.</w:t>
            </w:r>
            <w:r w:rsidR="00664C29" w:rsidRPr="008A08A6">
              <w:rPr>
                <w:rFonts w:asciiTheme="minorHAnsi" w:hAnsiTheme="minorHAnsi" w:cstheme="minorBidi"/>
                <w:bCs/>
                <w:color w:val="auto"/>
                <w:sz w:val="22"/>
                <w:szCs w:val="22"/>
              </w:rPr>
              <w:t xml:space="preserve"> They also recently stated that Russian/Ukraine conflict underlines the need for national security and to become energy independent.</w:t>
            </w:r>
          </w:p>
        </w:tc>
      </w:tr>
      <w:tr w:rsidR="000C6E6E" w:rsidRPr="00315E1C" w:rsidTr="00767745">
        <w:tc>
          <w:tcPr>
            <w:tcW w:w="1696" w:type="dxa"/>
            <w:shd w:val="pct12" w:color="auto" w:fill="auto"/>
          </w:tcPr>
          <w:p w:rsidR="000C6E6E" w:rsidRPr="00F36E03" w:rsidRDefault="000C6E6E" w:rsidP="009355D6">
            <w:pPr>
              <w:spacing w:after="120"/>
              <w:jc w:val="left"/>
              <w:rPr>
                <w:rStyle w:val="Strong"/>
                <w:rFonts w:ascii="Calibri" w:hAnsi="Calibri" w:cs="Segoe UI"/>
                <w:color w:val="081F2D"/>
                <w:lang w:val="en-US"/>
              </w:rPr>
            </w:pPr>
            <w:r w:rsidRPr="00F36E03">
              <w:rPr>
                <w:rStyle w:val="Strong"/>
                <w:rFonts w:ascii="Calibri" w:hAnsi="Calibri" w:cs="Segoe UI"/>
                <w:color w:val="081F2D"/>
                <w:lang w:val="en-US"/>
              </w:rPr>
              <w:t>DUoS Charges Significant Code review</w:t>
            </w:r>
          </w:p>
        </w:tc>
        <w:tc>
          <w:tcPr>
            <w:tcW w:w="2552" w:type="dxa"/>
          </w:tcPr>
          <w:p w:rsidR="000C6E6E" w:rsidRPr="00C627F1" w:rsidRDefault="00C074AA" w:rsidP="009355D6">
            <w:pPr>
              <w:spacing w:after="120"/>
              <w:jc w:val="left"/>
              <w:rPr>
                <w:rFonts w:ascii="Calibri" w:hAnsi="Calibri"/>
                <w:bCs/>
                <w:highlight w:val="cyan"/>
              </w:rPr>
            </w:pPr>
            <w:r w:rsidRPr="00F36E03">
              <w:rPr>
                <w:rFonts w:ascii="Calibri" w:hAnsi="Calibri"/>
                <w:bCs/>
              </w:rPr>
              <w:t>Ofgem</w:t>
            </w:r>
          </w:p>
        </w:tc>
        <w:tc>
          <w:tcPr>
            <w:tcW w:w="1276" w:type="dxa"/>
          </w:tcPr>
          <w:p w:rsidR="000C6E6E" w:rsidRPr="00C627F1" w:rsidRDefault="00C074AA" w:rsidP="009355D6">
            <w:pPr>
              <w:spacing w:after="120"/>
              <w:jc w:val="left"/>
              <w:rPr>
                <w:rFonts w:ascii="Calibri" w:hAnsi="Calibri"/>
                <w:bCs/>
                <w:highlight w:val="cyan"/>
              </w:rPr>
            </w:pPr>
            <w:r w:rsidRPr="00F36E03">
              <w:rPr>
                <w:rFonts w:ascii="Calibri" w:hAnsi="Calibri"/>
                <w:bCs/>
              </w:rPr>
              <w:t>Recently Launched</w:t>
            </w:r>
          </w:p>
        </w:tc>
        <w:tc>
          <w:tcPr>
            <w:tcW w:w="4961" w:type="dxa"/>
          </w:tcPr>
          <w:p w:rsidR="00E811D1" w:rsidRPr="00F36E03" w:rsidRDefault="00F36E03" w:rsidP="00E811D1">
            <w:pPr>
              <w:spacing w:after="120"/>
              <w:jc w:val="left"/>
            </w:pPr>
            <w:r>
              <w:t xml:space="preserve">Mar-22 - </w:t>
            </w:r>
            <w:r w:rsidR="00E811D1" w:rsidRPr="00F36E03">
              <w:t>Following consultation in November 2021, Ofgem have decided to descope the wide-ranging review of Distribution Use of System (‘DUoS’) charges from the current Electricity Network Access and Forward-Looking Charges Significant Code Review (‘Access SCR’) and take it forward under a dedicated DUoS SCR with a revised timescale.</w:t>
            </w:r>
          </w:p>
          <w:p w:rsidR="00C074AA" w:rsidRPr="00F36E03" w:rsidRDefault="00E811D1" w:rsidP="00E811D1">
            <w:pPr>
              <w:spacing w:after="120"/>
              <w:jc w:val="left"/>
            </w:pPr>
            <w:r w:rsidRPr="00F36E03">
              <w:t xml:space="preserve">With immediate effect from Feb </w:t>
            </w:r>
            <w:r w:rsidR="00C627F1" w:rsidRPr="00F36E03">
              <w:t>22</w:t>
            </w:r>
            <w:r w:rsidRPr="00F36E03">
              <w:t xml:space="preserve">, Ofgem have decided to launch a separate Distribution Use of System charges SCR </w:t>
            </w:r>
            <w:proofErr w:type="gramStart"/>
            <w:r w:rsidRPr="00F36E03">
              <w:t>in order to</w:t>
            </w:r>
            <w:proofErr w:type="gramEnd"/>
            <w:r w:rsidRPr="00F36E03">
              <w:t xml:space="preserve"> take forward a review of this area whilst allowing the Access SCR to be delivered in a timel</w:t>
            </w:r>
            <w:r w:rsidR="00C627F1" w:rsidRPr="00F36E03">
              <w:t>y fashion. This decision retained</w:t>
            </w:r>
            <w:r w:rsidRPr="00F36E03">
              <w:t xml:space="preserve"> the overall objective of DUoS reform from the Access SCR - to ensure electricity networks are used efficiently and flexibly, reflecting users’ needs and allowing consumers to benefit from new technologies and services while avoiding unnecessary costs on energy bills in general.</w:t>
            </w:r>
          </w:p>
          <w:p w:rsidR="000C6E6E" w:rsidRPr="00C627F1" w:rsidRDefault="001A4C9F" w:rsidP="009355D6">
            <w:pPr>
              <w:spacing w:after="120"/>
              <w:jc w:val="left"/>
              <w:rPr>
                <w:rStyle w:val="Strong"/>
                <w:rFonts w:ascii="Calibri" w:hAnsi="Calibri" w:cs="Segoe UI"/>
                <w:b w:val="0"/>
                <w:color w:val="081F2D"/>
                <w:highlight w:val="cyan"/>
                <w:lang w:val="en-US"/>
              </w:rPr>
            </w:pPr>
            <w:hyperlink r:id="rId22" w:history="1">
              <w:r w:rsidR="00C074AA" w:rsidRPr="00F36E03">
                <w:rPr>
                  <w:rStyle w:val="Hyperlink"/>
                </w:rPr>
                <w:t>Distribution Use of System Charges: Significant Code Review Launch | Ofgem</w:t>
              </w:r>
            </w:hyperlink>
          </w:p>
        </w:tc>
        <w:tc>
          <w:tcPr>
            <w:tcW w:w="3544" w:type="dxa"/>
          </w:tcPr>
          <w:p w:rsidR="000C6E6E" w:rsidRPr="00C627F1" w:rsidRDefault="00C074AA" w:rsidP="009355D6">
            <w:pPr>
              <w:rPr>
                <w:highlight w:val="cyan"/>
              </w:rPr>
            </w:pPr>
            <w:r w:rsidRPr="00F36E03">
              <w:lastRenderedPageBreak/>
              <w:t>DUoS charges are paid by users of the local distribution grids so impact electricity consumers. DUoS charges in the ENWL area for a typical domestic customer are the lowest of all DNO groups. This reform is about how the allowed revenues set by Ofgem through price control proces</w:t>
            </w:r>
            <w:r w:rsidR="00C627F1" w:rsidRPr="00F36E03">
              <w:t>ses are recovered through the price structures for use of distribution system charges.</w:t>
            </w:r>
            <w:r w:rsidRPr="00F36E03">
              <w:t xml:space="preserve"> </w:t>
            </w:r>
          </w:p>
        </w:tc>
      </w:tr>
      <w:tr w:rsidR="009355D6" w:rsidRPr="00315E1C" w:rsidTr="00767745">
        <w:tc>
          <w:tcPr>
            <w:tcW w:w="1696" w:type="dxa"/>
            <w:shd w:val="pct12" w:color="auto" w:fill="auto"/>
          </w:tcPr>
          <w:p w:rsidR="009355D6" w:rsidRPr="00F36E03" w:rsidRDefault="00C627F1" w:rsidP="009355D6">
            <w:pPr>
              <w:spacing w:after="120"/>
              <w:jc w:val="left"/>
              <w:rPr>
                <w:rStyle w:val="Strong"/>
                <w:rFonts w:ascii="Calibri" w:hAnsi="Calibri" w:cs="Segoe UI"/>
                <w:color w:val="081F2D"/>
                <w:highlight w:val="cyan"/>
                <w:lang w:val="en-US"/>
              </w:rPr>
            </w:pPr>
            <w:r w:rsidRPr="00F36E03">
              <w:rPr>
                <w:rStyle w:val="Strong"/>
                <w:rFonts w:ascii="Calibri" w:hAnsi="Calibri" w:cs="Segoe UI"/>
                <w:color w:val="081F2D"/>
                <w:lang w:val="en-US"/>
              </w:rPr>
              <w:t>Retail market issues,</w:t>
            </w:r>
            <w:r w:rsidR="00BA0E92">
              <w:rPr>
                <w:rStyle w:val="Strong"/>
                <w:rFonts w:ascii="Calibri" w:hAnsi="Calibri" w:cs="Segoe UI"/>
                <w:color w:val="081F2D"/>
                <w:lang w:val="en-US"/>
              </w:rPr>
              <w:t xml:space="preserve"> </w:t>
            </w:r>
            <w:r w:rsidR="000C6E6E" w:rsidRPr="00F36E03">
              <w:rPr>
                <w:rStyle w:val="Strong"/>
                <w:rFonts w:ascii="Calibri" w:hAnsi="Calibri" w:cs="Segoe UI"/>
                <w:color w:val="081F2D"/>
                <w:lang w:val="en-US"/>
              </w:rPr>
              <w:t>regulatory reform</w:t>
            </w:r>
            <w:r w:rsidRPr="00F36E03">
              <w:rPr>
                <w:rStyle w:val="Strong"/>
                <w:rFonts w:ascii="Calibri" w:hAnsi="Calibri" w:cs="Segoe UI"/>
                <w:color w:val="081F2D"/>
                <w:lang w:val="en-US"/>
              </w:rPr>
              <w:t xml:space="preserve"> and affordability</w:t>
            </w:r>
          </w:p>
        </w:tc>
        <w:tc>
          <w:tcPr>
            <w:tcW w:w="2552" w:type="dxa"/>
          </w:tcPr>
          <w:p w:rsidR="009355D6" w:rsidRPr="00C627F1" w:rsidRDefault="00C627F1" w:rsidP="009355D6">
            <w:pPr>
              <w:spacing w:after="120"/>
              <w:jc w:val="left"/>
              <w:rPr>
                <w:rFonts w:ascii="Calibri" w:hAnsi="Calibri"/>
                <w:bCs/>
                <w:highlight w:val="cyan"/>
              </w:rPr>
            </w:pPr>
            <w:r w:rsidRPr="00F36E03">
              <w:rPr>
                <w:rFonts w:ascii="Calibri" w:hAnsi="Calibri"/>
                <w:bCs/>
              </w:rPr>
              <w:t>Ofgem and BEIS</w:t>
            </w:r>
          </w:p>
        </w:tc>
        <w:tc>
          <w:tcPr>
            <w:tcW w:w="1276" w:type="dxa"/>
          </w:tcPr>
          <w:p w:rsidR="009355D6" w:rsidRPr="00C627F1" w:rsidRDefault="00C627F1" w:rsidP="009355D6">
            <w:pPr>
              <w:spacing w:after="120"/>
              <w:jc w:val="left"/>
              <w:rPr>
                <w:rFonts w:ascii="Calibri" w:hAnsi="Calibri"/>
                <w:bCs/>
                <w:highlight w:val="cyan"/>
              </w:rPr>
            </w:pPr>
            <w:r w:rsidRPr="00F36E03">
              <w:rPr>
                <w:rFonts w:ascii="Calibri" w:hAnsi="Calibri"/>
                <w:bCs/>
              </w:rPr>
              <w:t>Recently launched</w:t>
            </w:r>
          </w:p>
        </w:tc>
        <w:tc>
          <w:tcPr>
            <w:tcW w:w="4961" w:type="dxa"/>
          </w:tcPr>
          <w:p w:rsidR="008A08A6" w:rsidRPr="008A08A6" w:rsidRDefault="008A08A6" w:rsidP="009355D6">
            <w:pPr>
              <w:spacing w:after="120"/>
              <w:jc w:val="left"/>
              <w:rPr>
                <w:rStyle w:val="Strong"/>
                <w:rFonts w:ascii="Calibri" w:hAnsi="Calibri" w:cs="Segoe UI"/>
                <w:color w:val="081F2D"/>
                <w:lang w:val="en-US"/>
              </w:rPr>
            </w:pPr>
            <w:r w:rsidRPr="0024613A">
              <w:rPr>
                <w:rStyle w:val="Strong"/>
                <w:rFonts w:ascii="Calibri" w:hAnsi="Calibri" w:cs="Segoe UI"/>
                <w:color w:val="081F2D"/>
                <w:highlight w:val="cyan"/>
                <w:lang w:val="en-US"/>
              </w:rPr>
              <w:t>Update</w:t>
            </w:r>
            <w:r w:rsidR="0024613A" w:rsidRPr="0024613A">
              <w:rPr>
                <w:rStyle w:val="Strong"/>
                <w:rFonts w:ascii="Calibri" w:hAnsi="Calibri" w:cs="Segoe UI"/>
                <w:color w:val="081F2D"/>
                <w:highlight w:val="cyan"/>
                <w:lang w:val="en-US"/>
              </w:rPr>
              <w:t xml:space="preserve"> -</w:t>
            </w:r>
            <w:r w:rsidR="0024613A" w:rsidRPr="0024613A">
              <w:rPr>
                <w:rStyle w:val="Strong"/>
                <w:rFonts w:ascii="Calibri" w:hAnsi="Calibri" w:cs="Segoe UI"/>
                <w:color w:val="081F2D"/>
                <w:lang w:val="en-US"/>
              </w:rPr>
              <w:t xml:space="preserve"> </w:t>
            </w:r>
            <w:r w:rsidRPr="008A08A6">
              <w:rPr>
                <w:rStyle w:val="Strong"/>
                <w:rFonts w:ascii="Calibri" w:hAnsi="Calibri" w:cs="Segoe UI"/>
                <w:color w:val="081F2D"/>
                <w:lang w:val="en-US"/>
              </w:rPr>
              <w:t xml:space="preserve"> </w:t>
            </w:r>
            <w:r w:rsidR="00BA0E92" w:rsidRPr="00BA0E92">
              <w:rPr>
                <w:rStyle w:val="Strong"/>
                <w:rFonts w:ascii="Calibri" w:hAnsi="Calibri" w:cs="Segoe UI"/>
                <w:color w:val="081F2D"/>
                <w:highlight w:val="cyan"/>
                <w:lang w:val="en-US"/>
              </w:rPr>
              <w:t>Government announced in September a further package of measures to mitigate an otherwise steep increase in energy bills.</w:t>
            </w:r>
            <w:r w:rsidR="00BA0E92">
              <w:rPr>
                <w:rStyle w:val="Strong"/>
                <w:rFonts w:ascii="Calibri" w:hAnsi="Calibri" w:cs="Segoe UI"/>
                <w:color w:val="081F2D"/>
                <w:lang w:val="en-US"/>
              </w:rPr>
              <w:t xml:space="preserve"> </w:t>
            </w:r>
            <w:r w:rsidR="00BA0E92">
              <w:t xml:space="preserve"> </w:t>
            </w:r>
            <w:hyperlink r:id="rId23" w:history="1">
              <w:r w:rsidR="00BA0E92" w:rsidRPr="00BA0E92">
                <w:rPr>
                  <w:rStyle w:val="Hyperlink"/>
                  <w:highlight w:val="cyan"/>
                </w:rPr>
                <w:t>PM Liz Truss's opening speech on the energy policy debate - GOV.UK (www.gov.uk)</w:t>
              </w:r>
            </w:hyperlink>
          </w:p>
          <w:p w:rsidR="009355D6" w:rsidRPr="00C627F1" w:rsidRDefault="00F36E03" w:rsidP="009355D6">
            <w:pPr>
              <w:spacing w:after="120"/>
              <w:jc w:val="left"/>
              <w:rPr>
                <w:rStyle w:val="Strong"/>
                <w:rFonts w:ascii="Calibri" w:hAnsi="Calibri" w:cs="Segoe UI"/>
                <w:b w:val="0"/>
                <w:color w:val="081F2D"/>
                <w:highlight w:val="cyan"/>
                <w:lang w:val="en-US"/>
              </w:rPr>
            </w:pPr>
            <w:r w:rsidRPr="00F36E03">
              <w:rPr>
                <w:rStyle w:val="Strong"/>
                <w:rFonts w:ascii="Calibri" w:hAnsi="Calibri" w:cs="Segoe UI"/>
                <w:b w:val="0"/>
                <w:color w:val="081F2D"/>
                <w:lang w:val="en-US"/>
              </w:rPr>
              <w:t xml:space="preserve">Mar-22 - </w:t>
            </w:r>
            <w:r w:rsidR="00C627F1" w:rsidRPr="00F36E03">
              <w:rPr>
                <w:rStyle w:val="Strong"/>
                <w:rFonts w:ascii="Calibri" w:hAnsi="Calibri" w:cs="Segoe UI"/>
                <w:b w:val="0"/>
                <w:color w:val="081F2D"/>
                <w:lang w:val="en-US"/>
              </w:rPr>
              <w:t xml:space="preserve">The issues seen in the retail market are being addressed by Ofgem through a range of measures including </w:t>
            </w:r>
            <w:hyperlink r:id="rId24" w:history="1">
              <w:r w:rsidR="00C627F1" w:rsidRPr="00F36E03">
                <w:rPr>
                  <w:rStyle w:val="Hyperlink"/>
                </w:rPr>
                <w:t>Ofgem: update on stabilising the energy market | Ofgem</w:t>
              </w:r>
            </w:hyperlink>
            <w:r w:rsidR="00C627F1" w:rsidRPr="00F36E03">
              <w:t xml:space="preserve"> and other policy steps. </w:t>
            </w:r>
            <w:r w:rsidR="00C627F1" w:rsidRPr="00F36E03">
              <w:rPr>
                <w:rStyle w:val="Strong"/>
                <w:rFonts w:ascii="Calibri" w:hAnsi="Calibri" w:cs="Segoe UI"/>
                <w:b w:val="0"/>
                <w:color w:val="081F2D"/>
                <w:lang w:val="en-US"/>
              </w:rPr>
              <w:t xml:space="preserve">Government have moved to assist consumers with affordability, given the substantial increases in the energy price cap </w:t>
            </w:r>
            <w:hyperlink r:id="rId25" w:history="1">
              <w:r w:rsidR="00C627F1" w:rsidRPr="00F36E03">
                <w:rPr>
                  <w:rStyle w:val="Hyperlink"/>
                </w:rPr>
                <w:t>Millions to receive £350 boost to help with rising energy costs - GOV.UK (www.gov.uk)</w:t>
              </w:r>
            </w:hyperlink>
            <w:r w:rsidR="00C627F1" w:rsidRPr="00F36E03">
              <w:rPr>
                <w:rStyle w:val="Strong"/>
                <w:rFonts w:ascii="Calibri" w:hAnsi="Calibri" w:cs="Segoe UI"/>
                <w:b w:val="0"/>
                <w:color w:val="081F2D"/>
                <w:lang w:val="en-US"/>
              </w:rPr>
              <w:t>. Industry commentators are anticipating the price cap may increase yet further when next reset.</w:t>
            </w:r>
          </w:p>
        </w:tc>
        <w:tc>
          <w:tcPr>
            <w:tcW w:w="3544" w:type="dxa"/>
          </w:tcPr>
          <w:p w:rsidR="009355D6" w:rsidRPr="00F36E03" w:rsidRDefault="00C627F1" w:rsidP="009355D6">
            <w:r w:rsidRPr="00F36E03">
              <w:t>Energy bills, driven by wholesale costs are increasing substantially. Various policy measures are being taken, with some commentators anticipating</w:t>
            </w:r>
            <w:r w:rsidR="00F36E03" w:rsidRPr="00F36E03">
              <w:t xml:space="preserve"> further steps being announced.</w:t>
            </w:r>
          </w:p>
        </w:tc>
      </w:tr>
      <w:tr w:rsidR="0097550C" w:rsidRPr="00315E1C" w:rsidTr="00767745">
        <w:tc>
          <w:tcPr>
            <w:tcW w:w="1696" w:type="dxa"/>
            <w:shd w:val="pct12" w:color="auto" w:fill="auto"/>
          </w:tcPr>
          <w:p w:rsidR="0097550C" w:rsidRDefault="0097550C" w:rsidP="0097550C">
            <w:pPr>
              <w:spacing w:line="276" w:lineRule="auto"/>
              <w:rPr>
                <w:color w:val="0563C1"/>
                <w:u w:val="single"/>
              </w:rPr>
            </w:pPr>
            <w:r>
              <w:rPr>
                <w:color w:val="0563C1"/>
                <w:u w:val="single"/>
              </w:rPr>
              <w:t xml:space="preserve">Smart Energy Code </w:t>
            </w:r>
            <w:hyperlink r:id="rId26" w:history="1">
              <w:r>
                <w:rPr>
                  <w:rStyle w:val="Hyperlink"/>
                </w:rPr>
                <w:t>DP206 ‘Allowing Generation Licence Holders to Apply Export MPANs’</w:t>
              </w:r>
            </w:hyperlink>
          </w:p>
          <w:p w:rsidR="0097550C" w:rsidRPr="00F36E03" w:rsidRDefault="0097550C" w:rsidP="009355D6">
            <w:pPr>
              <w:spacing w:after="120"/>
              <w:jc w:val="left"/>
              <w:rPr>
                <w:rStyle w:val="Strong"/>
                <w:rFonts w:ascii="Calibri" w:hAnsi="Calibri" w:cs="Segoe UI"/>
                <w:color w:val="081F2D"/>
                <w:lang w:val="en-US"/>
              </w:rPr>
            </w:pPr>
          </w:p>
        </w:tc>
        <w:tc>
          <w:tcPr>
            <w:tcW w:w="2552" w:type="dxa"/>
          </w:tcPr>
          <w:p w:rsidR="0097550C" w:rsidRPr="0097550C" w:rsidRDefault="0097550C" w:rsidP="0097550C">
            <w:pPr>
              <w:spacing w:after="120"/>
              <w:jc w:val="left"/>
              <w:rPr>
                <w:rFonts w:ascii="Calibri" w:hAnsi="Calibri"/>
                <w:bCs/>
                <w:highlight w:val="cyan"/>
              </w:rPr>
            </w:pPr>
            <w:r w:rsidRPr="008A08A6">
              <w:rPr>
                <w:rFonts w:ascii="Calibri" w:hAnsi="Calibri"/>
                <w:bCs/>
              </w:rPr>
              <w:t xml:space="preserve">The Change Proposal proposer says the Smart Energy Code (SEC) and its supporting technical specifications are currently written, whereby only Export Suppliers that hold an Electricity Supply Licence can apply an Export Meter Point </w:t>
            </w:r>
            <w:r w:rsidRPr="008A08A6">
              <w:rPr>
                <w:rFonts w:ascii="Calibri" w:hAnsi="Calibri"/>
                <w:bCs/>
              </w:rPr>
              <w:lastRenderedPageBreak/>
              <w:t>Administration Number (MPAN) to Smart Metering Equipment Technical Specifications (SMETS) Devices. The proposer says this is preventing SEC Parties from exercising their rights under the Electricity Generation Licence, and subsequently limiting choice for domestic customers who wish to generate revenue for their export energy.</w:t>
            </w:r>
          </w:p>
        </w:tc>
        <w:tc>
          <w:tcPr>
            <w:tcW w:w="1276" w:type="dxa"/>
          </w:tcPr>
          <w:p w:rsidR="0097550C" w:rsidRPr="0097550C" w:rsidRDefault="0097550C" w:rsidP="009355D6">
            <w:pPr>
              <w:spacing w:after="120"/>
              <w:jc w:val="left"/>
              <w:rPr>
                <w:rFonts w:ascii="Calibri" w:hAnsi="Calibri"/>
                <w:bCs/>
                <w:highlight w:val="cyan"/>
              </w:rPr>
            </w:pPr>
            <w:r w:rsidRPr="008A08A6">
              <w:rPr>
                <w:rFonts w:ascii="Calibri" w:hAnsi="Calibri"/>
                <w:bCs/>
              </w:rPr>
              <w:lastRenderedPageBreak/>
              <w:t>SEC</w:t>
            </w:r>
          </w:p>
        </w:tc>
        <w:tc>
          <w:tcPr>
            <w:tcW w:w="4961" w:type="dxa"/>
          </w:tcPr>
          <w:p w:rsidR="0097550C" w:rsidRPr="0097550C" w:rsidRDefault="008A08A6" w:rsidP="008A08A6">
            <w:pPr>
              <w:spacing w:after="120"/>
              <w:jc w:val="left"/>
              <w:rPr>
                <w:rStyle w:val="Strong"/>
                <w:rFonts w:ascii="Calibri" w:hAnsi="Calibri" w:cs="Segoe UI"/>
                <w:color w:val="081F2D"/>
                <w:highlight w:val="cyan"/>
                <w:lang w:val="en-US"/>
              </w:rPr>
            </w:pPr>
            <w:r w:rsidRPr="008A08A6">
              <w:rPr>
                <w:rStyle w:val="Strong"/>
                <w:rFonts w:ascii="Calibri" w:hAnsi="Calibri" w:cs="Calibri"/>
                <w:b w:val="0"/>
                <w:color w:val="081F2D"/>
                <w:lang w:val="en-US"/>
              </w:rPr>
              <w:t>Jun-22</w:t>
            </w:r>
            <w:r w:rsidRPr="008A08A6">
              <w:rPr>
                <w:rStyle w:val="Strong"/>
                <w:rFonts w:ascii="Calibri" w:hAnsi="Calibri" w:cs="Calibri"/>
                <w:color w:val="081F2D"/>
                <w:lang w:val="en-US"/>
              </w:rPr>
              <w:t xml:space="preserve"> - </w:t>
            </w:r>
            <w:r w:rsidR="0097550C" w:rsidRPr="008A08A6">
              <w:rPr>
                <w:rFonts w:ascii="Calibri" w:hAnsi="Calibri" w:cs="Calibri"/>
                <w:color w:val="3E4753"/>
              </w:rPr>
              <w:t>In May 2022, the SEC Change Sub-Committee (CSC) recommended that this Draft Proposal remains in the Development Stage to better understand the impacts this issue is causing. Due to the high number of modifications which have been raised this month the CSC agreed this modification should be added to the waiting list until there is sufficient capacity to progress the Proposal</w:t>
            </w:r>
            <w:r w:rsidR="0097550C" w:rsidRPr="008A08A6">
              <w:rPr>
                <w:rFonts w:ascii="Open Sans" w:hAnsi="Open Sans"/>
                <w:color w:val="3E4753"/>
                <w:sz w:val="21"/>
                <w:szCs w:val="21"/>
              </w:rPr>
              <w:t>.</w:t>
            </w:r>
          </w:p>
        </w:tc>
        <w:tc>
          <w:tcPr>
            <w:tcW w:w="3544" w:type="dxa"/>
          </w:tcPr>
          <w:p w:rsidR="0097550C" w:rsidRPr="0097550C" w:rsidRDefault="0097550C" w:rsidP="0097550C">
            <w:pPr>
              <w:rPr>
                <w:highlight w:val="cyan"/>
              </w:rPr>
            </w:pPr>
            <w:r w:rsidRPr="008A08A6">
              <w:t>This proposal could amend the SEC to allow companies with a generation licence to also offer a domestic customer with onsite generation a price for their export with a Smart Export Guarantee (SEG).</w:t>
            </w:r>
          </w:p>
        </w:tc>
      </w:tr>
    </w:tbl>
    <w:p w:rsidR="00010EF4" w:rsidRDefault="00010EF4" w:rsidP="008A08A6">
      <w:pPr>
        <w:spacing w:after="120"/>
        <w:rPr>
          <w:rFonts w:ascii="Calibri" w:hAnsi="Calibri"/>
          <w:b/>
          <w:bCs/>
          <w:sz w:val="24"/>
          <w:szCs w:val="24"/>
        </w:rPr>
      </w:pPr>
    </w:p>
    <w:sectPr w:rsidR="00010EF4" w:rsidSect="002E1E2C">
      <w:headerReference w:type="default" r:id="rId2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8CF" w:rsidRDefault="009068CF" w:rsidP="005F2AB6">
      <w:pPr>
        <w:spacing w:before="0" w:after="0"/>
      </w:pPr>
      <w:r>
        <w:separator/>
      </w:r>
    </w:p>
  </w:endnote>
  <w:endnote w:type="continuationSeparator" w:id="0">
    <w:p w:rsidR="009068CF" w:rsidRDefault="009068CF" w:rsidP="005F2A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8CF" w:rsidRDefault="009068CF" w:rsidP="005F2AB6">
      <w:pPr>
        <w:spacing w:before="0" w:after="0"/>
      </w:pPr>
      <w:r>
        <w:separator/>
      </w:r>
    </w:p>
  </w:footnote>
  <w:footnote w:type="continuationSeparator" w:id="0">
    <w:p w:rsidR="009068CF" w:rsidRDefault="009068CF" w:rsidP="005F2AB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60D" w:rsidRDefault="00D5760D">
    <w:pPr>
      <w:pStyle w:val="Header"/>
    </w:pPr>
    <w:r>
      <w:rPr>
        <w:noProof/>
        <w:lang w:eastAsia="en-GB"/>
      </w:rPr>
      <w:drawing>
        <wp:anchor distT="0" distB="0" distL="114300" distR="114300" simplePos="0" relativeHeight="251657216" behindDoc="1" locked="0" layoutInCell="1" allowOverlap="1" wp14:anchorId="79F0D721" wp14:editId="277A12F6">
          <wp:simplePos x="0" y="0"/>
          <wp:positionH relativeFrom="column">
            <wp:posOffset>8474406</wp:posOffset>
          </wp:positionH>
          <wp:positionV relativeFrom="paragraph">
            <wp:posOffset>-426085</wp:posOffset>
          </wp:positionV>
          <wp:extent cx="1029970" cy="1025525"/>
          <wp:effectExtent l="0" t="0" r="0" b="3175"/>
          <wp:wrapTight wrapText="bothSides">
            <wp:wrapPolygon edited="0">
              <wp:start x="19975" y="0"/>
              <wp:lineTo x="0" y="10833"/>
              <wp:lineTo x="0" y="12840"/>
              <wp:lineTo x="3995" y="21266"/>
              <wp:lineTo x="21174" y="21266"/>
              <wp:lineTo x="21174" y="0"/>
              <wp:lineTo x="19975" y="0"/>
            </wp:wrapPolygon>
          </wp:wrapTight>
          <wp:docPr id="1" name="Picture 0" descr="enw_full_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w_full_watermark.png"/>
                  <pic:cNvPicPr/>
                </pic:nvPicPr>
                <pic:blipFill>
                  <a:blip r:embed="rId1"/>
                  <a:stretch>
                    <a:fillRect/>
                  </a:stretch>
                </pic:blipFill>
                <pic:spPr>
                  <a:xfrm>
                    <a:off x="0" y="0"/>
                    <a:ext cx="1029970" cy="10255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C8F579"/>
    <w:multiLevelType w:val="hybridMultilevel"/>
    <w:tmpl w:val="CDDDAC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E2201"/>
    <w:multiLevelType w:val="hybridMultilevel"/>
    <w:tmpl w:val="B16C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D774C5"/>
    <w:multiLevelType w:val="multilevel"/>
    <w:tmpl w:val="E47CEB8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54B3907"/>
    <w:multiLevelType w:val="hybridMultilevel"/>
    <w:tmpl w:val="F47C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804EA"/>
    <w:multiLevelType w:val="multilevel"/>
    <w:tmpl w:val="6D7E0A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C7E7E4F"/>
    <w:multiLevelType w:val="hybridMultilevel"/>
    <w:tmpl w:val="056A0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C05ECB"/>
    <w:multiLevelType w:val="hybridMultilevel"/>
    <w:tmpl w:val="ADE0D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CC7D3A"/>
    <w:multiLevelType w:val="hybridMultilevel"/>
    <w:tmpl w:val="BC28B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DA3CA5"/>
    <w:multiLevelType w:val="hybridMultilevel"/>
    <w:tmpl w:val="6E40F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D005D"/>
    <w:multiLevelType w:val="hybridMultilevel"/>
    <w:tmpl w:val="179C33F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B8E25A4"/>
    <w:multiLevelType w:val="hybridMultilevel"/>
    <w:tmpl w:val="3D042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277F7B"/>
    <w:multiLevelType w:val="hybridMultilevel"/>
    <w:tmpl w:val="D07CDD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FF6F5C"/>
    <w:multiLevelType w:val="hybridMultilevel"/>
    <w:tmpl w:val="DDE6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94409C"/>
    <w:multiLevelType w:val="hybridMultilevel"/>
    <w:tmpl w:val="A89AD024"/>
    <w:lvl w:ilvl="0" w:tplc="08090001">
      <w:start w:val="1"/>
      <w:numFmt w:val="bullet"/>
      <w:lvlText w:val=""/>
      <w:lvlJc w:val="left"/>
      <w:pPr>
        <w:ind w:left="720" w:hanging="360"/>
      </w:pPr>
      <w:rPr>
        <w:rFonts w:ascii="Symbol" w:hAnsi="Symbol" w:hint="default"/>
      </w:rPr>
    </w:lvl>
    <w:lvl w:ilvl="1" w:tplc="45C28B52">
      <w:start w:val="1"/>
      <w:numFmt w:val="bullet"/>
      <w:lvlText w:val="‒"/>
      <w:lvlJc w:val="left"/>
      <w:pPr>
        <w:ind w:left="1440" w:hanging="360"/>
      </w:pPr>
      <w:rPr>
        <w:rFonts w:ascii="Calibri"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8E70360"/>
    <w:multiLevelType w:val="hybridMultilevel"/>
    <w:tmpl w:val="C11A9852"/>
    <w:lvl w:ilvl="0" w:tplc="08090001">
      <w:start w:val="1"/>
      <w:numFmt w:val="bullet"/>
      <w:lvlText w:val=""/>
      <w:lvlJc w:val="left"/>
      <w:pPr>
        <w:ind w:left="360" w:hanging="360"/>
      </w:pPr>
      <w:rPr>
        <w:rFonts w:ascii="Symbol" w:hAnsi="Symbol" w:hint="default"/>
      </w:rPr>
    </w:lvl>
    <w:lvl w:ilvl="1" w:tplc="F31AB36C">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0D7DF1"/>
    <w:multiLevelType w:val="hybridMultilevel"/>
    <w:tmpl w:val="253009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593515ED"/>
    <w:multiLevelType w:val="hybridMultilevel"/>
    <w:tmpl w:val="C0C6DDD2"/>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7" w15:restartNumberingAfterBreak="0">
    <w:nsid w:val="666E4DC3"/>
    <w:multiLevelType w:val="hybridMultilevel"/>
    <w:tmpl w:val="0AAA8110"/>
    <w:lvl w:ilvl="0" w:tplc="45C28B52">
      <w:start w:val="1"/>
      <w:numFmt w:val="bullet"/>
      <w:lvlText w:val="‒"/>
      <w:lvlJc w:val="left"/>
      <w:pPr>
        <w:ind w:left="720" w:hanging="360"/>
      </w:pPr>
      <w:rPr>
        <w:rFonts w:ascii="Calibri" w:hAnsi="Calibri" w:hint="default"/>
      </w:rPr>
    </w:lvl>
    <w:lvl w:ilvl="1" w:tplc="45C28B52">
      <w:start w:val="1"/>
      <w:numFmt w:val="bullet"/>
      <w:lvlText w:val="‒"/>
      <w:lvlJc w:val="left"/>
      <w:pPr>
        <w:ind w:left="1440" w:hanging="360"/>
      </w:pPr>
      <w:rPr>
        <w:rFonts w:ascii="Calibri"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72000BD"/>
    <w:multiLevelType w:val="hybridMultilevel"/>
    <w:tmpl w:val="52D41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842A40"/>
    <w:multiLevelType w:val="hybridMultilevel"/>
    <w:tmpl w:val="4A1EB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7F4313"/>
    <w:multiLevelType w:val="hybridMultilevel"/>
    <w:tmpl w:val="C3DEC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513689"/>
    <w:multiLevelType w:val="hybridMultilevel"/>
    <w:tmpl w:val="AF7012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4B4680"/>
    <w:multiLevelType w:val="hybridMultilevel"/>
    <w:tmpl w:val="D96E03B2"/>
    <w:lvl w:ilvl="0" w:tplc="45C28B5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6"/>
  </w:num>
  <w:num w:numId="6">
    <w:abstractNumId w:val="12"/>
  </w:num>
  <w:num w:numId="7">
    <w:abstractNumId w:val="3"/>
  </w:num>
  <w:num w:numId="8">
    <w:abstractNumId w:val="11"/>
  </w:num>
  <w:num w:numId="9">
    <w:abstractNumId w:val="19"/>
  </w:num>
  <w:num w:numId="10">
    <w:abstractNumId w:val="2"/>
  </w:num>
  <w:num w:numId="11">
    <w:abstractNumId w:val="8"/>
  </w:num>
  <w:num w:numId="12">
    <w:abstractNumId w:val="7"/>
  </w:num>
  <w:num w:numId="13">
    <w:abstractNumId w:val="20"/>
  </w:num>
  <w:num w:numId="14">
    <w:abstractNumId w:val="6"/>
  </w:num>
  <w:num w:numId="15">
    <w:abstractNumId w:val="5"/>
  </w:num>
  <w:num w:numId="16">
    <w:abstractNumId w:val="14"/>
  </w:num>
  <w:num w:numId="17">
    <w:abstractNumId w:val="18"/>
  </w:num>
  <w:num w:numId="18">
    <w:abstractNumId w:val="1"/>
  </w:num>
  <w:num w:numId="19">
    <w:abstractNumId w:val="10"/>
  </w:num>
  <w:num w:numId="20">
    <w:abstractNumId w:val="15"/>
  </w:num>
  <w:num w:numId="21">
    <w:abstractNumId w:val="13"/>
  </w:num>
  <w:num w:numId="22">
    <w:abstractNumId w:val="17"/>
  </w:num>
  <w:num w:numId="23">
    <w:abstractNumId w:val="2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B6"/>
    <w:rsid w:val="00000505"/>
    <w:rsid w:val="00007214"/>
    <w:rsid w:val="00010EF4"/>
    <w:rsid w:val="00023321"/>
    <w:rsid w:val="00041573"/>
    <w:rsid w:val="00047320"/>
    <w:rsid w:val="0004747E"/>
    <w:rsid w:val="0006027C"/>
    <w:rsid w:val="00085D57"/>
    <w:rsid w:val="0009699E"/>
    <w:rsid w:val="000B2598"/>
    <w:rsid w:val="000B3115"/>
    <w:rsid w:val="000B4EE0"/>
    <w:rsid w:val="000C2BA4"/>
    <w:rsid w:val="000C4D4E"/>
    <w:rsid w:val="000C6E6E"/>
    <w:rsid w:val="000D1AF4"/>
    <w:rsid w:val="000E4993"/>
    <w:rsid w:val="000E5DDF"/>
    <w:rsid w:val="001010E8"/>
    <w:rsid w:val="00101EC8"/>
    <w:rsid w:val="0010690C"/>
    <w:rsid w:val="001173B7"/>
    <w:rsid w:val="00121B02"/>
    <w:rsid w:val="00123E19"/>
    <w:rsid w:val="00125538"/>
    <w:rsid w:val="0013437A"/>
    <w:rsid w:val="00134BE9"/>
    <w:rsid w:val="00151AC6"/>
    <w:rsid w:val="00161196"/>
    <w:rsid w:val="00163758"/>
    <w:rsid w:val="0016697D"/>
    <w:rsid w:val="001745DF"/>
    <w:rsid w:val="00186A47"/>
    <w:rsid w:val="00192886"/>
    <w:rsid w:val="001A3755"/>
    <w:rsid w:val="001A4C9F"/>
    <w:rsid w:val="001B5D81"/>
    <w:rsid w:val="001B7FD6"/>
    <w:rsid w:val="001C366E"/>
    <w:rsid w:val="001D2244"/>
    <w:rsid w:val="001F0AE7"/>
    <w:rsid w:val="002015A6"/>
    <w:rsid w:val="00204E2D"/>
    <w:rsid w:val="00206040"/>
    <w:rsid w:val="00212A53"/>
    <w:rsid w:val="00233A90"/>
    <w:rsid w:val="00244264"/>
    <w:rsid w:val="0024613A"/>
    <w:rsid w:val="00252A64"/>
    <w:rsid w:val="00266A8D"/>
    <w:rsid w:val="00282DE4"/>
    <w:rsid w:val="00295EF0"/>
    <w:rsid w:val="0029729E"/>
    <w:rsid w:val="002A001C"/>
    <w:rsid w:val="002A1DF5"/>
    <w:rsid w:val="002A2C6A"/>
    <w:rsid w:val="002A5800"/>
    <w:rsid w:val="002C3BA5"/>
    <w:rsid w:val="002C4930"/>
    <w:rsid w:val="002D3461"/>
    <w:rsid w:val="002D3BA8"/>
    <w:rsid w:val="002D4CF6"/>
    <w:rsid w:val="002D747C"/>
    <w:rsid w:val="002E1E2C"/>
    <w:rsid w:val="002E4FC7"/>
    <w:rsid w:val="00302733"/>
    <w:rsid w:val="00302C41"/>
    <w:rsid w:val="003038FC"/>
    <w:rsid w:val="00304487"/>
    <w:rsid w:val="00306DC9"/>
    <w:rsid w:val="00313018"/>
    <w:rsid w:val="0031379D"/>
    <w:rsid w:val="003206E6"/>
    <w:rsid w:val="00325A85"/>
    <w:rsid w:val="00327C07"/>
    <w:rsid w:val="00354AC6"/>
    <w:rsid w:val="00354F43"/>
    <w:rsid w:val="0036205B"/>
    <w:rsid w:val="0036377A"/>
    <w:rsid w:val="00374FDB"/>
    <w:rsid w:val="003752C1"/>
    <w:rsid w:val="00381404"/>
    <w:rsid w:val="00385F7F"/>
    <w:rsid w:val="003A1F1E"/>
    <w:rsid w:val="003A3125"/>
    <w:rsid w:val="003A41C6"/>
    <w:rsid w:val="003B7BED"/>
    <w:rsid w:val="003C5320"/>
    <w:rsid w:val="003E074F"/>
    <w:rsid w:val="003E1594"/>
    <w:rsid w:val="003E6B73"/>
    <w:rsid w:val="003E6FF7"/>
    <w:rsid w:val="003F59B1"/>
    <w:rsid w:val="00413CD0"/>
    <w:rsid w:val="00422D9B"/>
    <w:rsid w:val="004279EA"/>
    <w:rsid w:val="00447291"/>
    <w:rsid w:val="00462217"/>
    <w:rsid w:val="00467B16"/>
    <w:rsid w:val="00474591"/>
    <w:rsid w:val="00481B6B"/>
    <w:rsid w:val="00495FD1"/>
    <w:rsid w:val="004A27CD"/>
    <w:rsid w:val="004B55F4"/>
    <w:rsid w:val="004C6669"/>
    <w:rsid w:val="004E1DF4"/>
    <w:rsid w:val="004E5586"/>
    <w:rsid w:val="004F2E6D"/>
    <w:rsid w:val="004F7CC2"/>
    <w:rsid w:val="005021D8"/>
    <w:rsid w:val="0052415C"/>
    <w:rsid w:val="00525188"/>
    <w:rsid w:val="00562EDE"/>
    <w:rsid w:val="00570C2D"/>
    <w:rsid w:val="00572E0F"/>
    <w:rsid w:val="0057317E"/>
    <w:rsid w:val="00586035"/>
    <w:rsid w:val="005876C1"/>
    <w:rsid w:val="00590881"/>
    <w:rsid w:val="00594296"/>
    <w:rsid w:val="00595CDE"/>
    <w:rsid w:val="005A4074"/>
    <w:rsid w:val="005A4451"/>
    <w:rsid w:val="005C1778"/>
    <w:rsid w:val="005C3569"/>
    <w:rsid w:val="005C5F39"/>
    <w:rsid w:val="005C6BC4"/>
    <w:rsid w:val="005D2E82"/>
    <w:rsid w:val="005F2AB6"/>
    <w:rsid w:val="005F313D"/>
    <w:rsid w:val="00610300"/>
    <w:rsid w:val="00610AB3"/>
    <w:rsid w:val="006110A4"/>
    <w:rsid w:val="00636AE6"/>
    <w:rsid w:val="00655978"/>
    <w:rsid w:val="00664C29"/>
    <w:rsid w:val="006675E4"/>
    <w:rsid w:val="00671552"/>
    <w:rsid w:val="00677E74"/>
    <w:rsid w:val="006909B5"/>
    <w:rsid w:val="00690ABD"/>
    <w:rsid w:val="00696A06"/>
    <w:rsid w:val="006A30F8"/>
    <w:rsid w:val="006A6ABD"/>
    <w:rsid w:val="006B360C"/>
    <w:rsid w:val="006B5A64"/>
    <w:rsid w:val="006B7723"/>
    <w:rsid w:val="006C0376"/>
    <w:rsid w:val="006D196E"/>
    <w:rsid w:val="006D24D1"/>
    <w:rsid w:val="006D4771"/>
    <w:rsid w:val="006D58B9"/>
    <w:rsid w:val="006D7897"/>
    <w:rsid w:val="006E6D42"/>
    <w:rsid w:val="006F4A0A"/>
    <w:rsid w:val="00700CF8"/>
    <w:rsid w:val="00704241"/>
    <w:rsid w:val="00707ADA"/>
    <w:rsid w:val="0071004A"/>
    <w:rsid w:val="0072351F"/>
    <w:rsid w:val="00731FF6"/>
    <w:rsid w:val="007330D1"/>
    <w:rsid w:val="00760933"/>
    <w:rsid w:val="00766421"/>
    <w:rsid w:val="00767745"/>
    <w:rsid w:val="00782CB1"/>
    <w:rsid w:val="0078543A"/>
    <w:rsid w:val="00785C2B"/>
    <w:rsid w:val="007918E3"/>
    <w:rsid w:val="007A458B"/>
    <w:rsid w:val="007B58D7"/>
    <w:rsid w:val="007D47CB"/>
    <w:rsid w:val="007F4F99"/>
    <w:rsid w:val="007F5EE2"/>
    <w:rsid w:val="007F7FB2"/>
    <w:rsid w:val="008207C7"/>
    <w:rsid w:val="00846252"/>
    <w:rsid w:val="008464C9"/>
    <w:rsid w:val="0084694F"/>
    <w:rsid w:val="00850519"/>
    <w:rsid w:val="008776EA"/>
    <w:rsid w:val="008833DF"/>
    <w:rsid w:val="00885ED0"/>
    <w:rsid w:val="0088668A"/>
    <w:rsid w:val="00891049"/>
    <w:rsid w:val="008A08A6"/>
    <w:rsid w:val="008A4476"/>
    <w:rsid w:val="008A7578"/>
    <w:rsid w:val="008C474D"/>
    <w:rsid w:val="008D607F"/>
    <w:rsid w:val="008E0FB3"/>
    <w:rsid w:val="009068CF"/>
    <w:rsid w:val="009144B4"/>
    <w:rsid w:val="009348DE"/>
    <w:rsid w:val="009350A8"/>
    <w:rsid w:val="009355D6"/>
    <w:rsid w:val="00940206"/>
    <w:rsid w:val="00942B6F"/>
    <w:rsid w:val="0094632A"/>
    <w:rsid w:val="00961112"/>
    <w:rsid w:val="009713A9"/>
    <w:rsid w:val="00971D40"/>
    <w:rsid w:val="009722D6"/>
    <w:rsid w:val="009734DB"/>
    <w:rsid w:val="0097550C"/>
    <w:rsid w:val="009879FE"/>
    <w:rsid w:val="009C1D39"/>
    <w:rsid w:val="009C2FA5"/>
    <w:rsid w:val="009D1392"/>
    <w:rsid w:val="009E5401"/>
    <w:rsid w:val="009E5EB0"/>
    <w:rsid w:val="009F4099"/>
    <w:rsid w:val="009F6064"/>
    <w:rsid w:val="00A10322"/>
    <w:rsid w:val="00A15568"/>
    <w:rsid w:val="00A238CB"/>
    <w:rsid w:val="00A37621"/>
    <w:rsid w:val="00A50728"/>
    <w:rsid w:val="00A6595D"/>
    <w:rsid w:val="00A85294"/>
    <w:rsid w:val="00A93057"/>
    <w:rsid w:val="00A96B26"/>
    <w:rsid w:val="00AA6815"/>
    <w:rsid w:val="00AB3B54"/>
    <w:rsid w:val="00AB59DF"/>
    <w:rsid w:val="00AB74B2"/>
    <w:rsid w:val="00AC0093"/>
    <w:rsid w:val="00AC1B30"/>
    <w:rsid w:val="00AD2F66"/>
    <w:rsid w:val="00AD3898"/>
    <w:rsid w:val="00AF2162"/>
    <w:rsid w:val="00AF74A8"/>
    <w:rsid w:val="00B13EA0"/>
    <w:rsid w:val="00B2314C"/>
    <w:rsid w:val="00B40308"/>
    <w:rsid w:val="00B460A9"/>
    <w:rsid w:val="00B57FE2"/>
    <w:rsid w:val="00B71099"/>
    <w:rsid w:val="00B826B5"/>
    <w:rsid w:val="00B9263C"/>
    <w:rsid w:val="00B926B4"/>
    <w:rsid w:val="00B97159"/>
    <w:rsid w:val="00BA0E92"/>
    <w:rsid w:val="00BA21E5"/>
    <w:rsid w:val="00BA4353"/>
    <w:rsid w:val="00BB1259"/>
    <w:rsid w:val="00BC053F"/>
    <w:rsid w:val="00BC0640"/>
    <w:rsid w:val="00BC1A64"/>
    <w:rsid w:val="00BC443B"/>
    <w:rsid w:val="00BD56C3"/>
    <w:rsid w:val="00BE4AA2"/>
    <w:rsid w:val="00BE64E0"/>
    <w:rsid w:val="00BF7AAF"/>
    <w:rsid w:val="00C074AA"/>
    <w:rsid w:val="00C07AC4"/>
    <w:rsid w:val="00C2294E"/>
    <w:rsid w:val="00C54228"/>
    <w:rsid w:val="00C627F1"/>
    <w:rsid w:val="00C64157"/>
    <w:rsid w:val="00C64FE3"/>
    <w:rsid w:val="00C67412"/>
    <w:rsid w:val="00C71D32"/>
    <w:rsid w:val="00C804D8"/>
    <w:rsid w:val="00CB59B7"/>
    <w:rsid w:val="00CB7841"/>
    <w:rsid w:val="00CC2FD7"/>
    <w:rsid w:val="00CD5FBF"/>
    <w:rsid w:val="00CE2902"/>
    <w:rsid w:val="00D068B9"/>
    <w:rsid w:val="00D31F15"/>
    <w:rsid w:val="00D47AEC"/>
    <w:rsid w:val="00D5760D"/>
    <w:rsid w:val="00D67991"/>
    <w:rsid w:val="00D86839"/>
    <w:rsid w:val="00D90D9F"/>
    <w:rsid w:val="00D9201F"/>
    <w:rsid w:val="00D93170"/>
    <w:rsid w:val="00D933EF"/>
    <w:rsid w:val="00D9602F"/>
    <w:rsid w:val="00DA0FC4"/>
    <w:rsid w:val="00DA33D8"/>
    <w:rsid w:val="00DA53CF"/>
    <w:rsid w:val="00DD413B"/>
    <w:rsid w:val="00DD6AE7"/>
    <w:rsid w:val="00DE11F2"/>
    <w:rsid w:val="00DF02F6"/>
    <w:rsid w:val="00DF7807"/>
    <w:rsid w:val="00E0609D"/>
    <w:rsid w:val="00E119AF"/>
    <w:rsid w:val="00E121F5"/>
    <w:rsid w:val="00E2768F"/>
    <w:rsid w:val="00E529B7"/>
    <w:rsid w:val="00E63AB0"/>
    <w:rsid w:val="00E70000"/>
    <w:rsid w:val="00E716A0"/>
    <w:rsid w:val="00E71894"/>
    <w:rsid w:val="00E748C1"/>
    <w:rsid w:val="00E75A7E"/>
    <w:rsid w:val="00E77657"/>
    <w:rsid w:val="00E811D1"/>
    <w:rsid w:val="00E84C6A"/>
    <w:rsid w:val="00E92567"/>
    <w:rsid w:val="00E9441E"/>
    <w:rsid w:val="00EA79B0"/>
    <w:rsid w:val="00EC7B31"/>
    <w:rsid w:val="00ED2BE1"/>
    <w:rsid w:val="00ED33D3"/>
    <w:rsid w:val="00ED57CE"/>
    <w:rsid w:val="00EE404E"/>
    <w:rsid w:val="00F125F1"/>
    <w:rsid w:val="00F15610"/>
    <w:rsid w:val="00F31E64"/>
    <w:rsid w:val="00F36E03"/>
    <w:rsid w:val="00F4461E"/>
    <w:rsid w:val="00F4552B"/>
    <w:rsid w:val="00F45C27"/>
    <w:rsid w:val="00F556A7"/>
    <w:rsid w:val="00F56189"/>
    <w:rsid w:val="00F61E96"/>
    <w:rsid w:val="00F662F2"/>
    <w:rsid w:val="00F70CAE"/>
    <w:rsid w:val="00F92D1E"/>
    <w:rsid w:val="00F93490"/>
    <w:rsid w:val="00FA3356"/>
    <w:rsid w:val="00FB4AE9"/>
    <w:rsid w:val="00FC720C"/>
    <w:rsid w:val="00FD1978"/>
    <w:rsid w:val="00FD34CA"/>
    <w:rsid w:val="00FE1372"/>
    <w:rsid w:val="00FE6776"/>
    <w:rsid w:val="00FF6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10843D"/>
  <w15:docId w15:val="{81402D5D-97C4-435D-B5FD-8B73AE81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AB6"/>
    <w:pPr>
      <w:spacing w:before="240" w:after="240" w:line="240" w:lineRule="auto"/>
      <w:jc w:val="both"/>
    </w:pPr>
  </w:style>
  <w:style w:type="paragraph" w:styleId="Heading1">
    <w:name w:val="heading 1"/>
    <w:next w:val="Normal"/>
    <w:link w:val="Heading1Char"/>
    <w:qFormat/>
    <w:rsid w:val="002D3461"/>
    <w:pPr>
      <w:keepNext/>
      <w:numPr>
        <w:numId w:val="1"/>
      </w:numPr>
      <w:spacing w:before="360" w:after="120" w:line="240" w:lineRule="auto"/>
      <w:outlineLvl w:val="0"/>
    </w:pPr>
    <w:rPr>
      <w:rFonts w:asciiTheme="majorHAnsi" w:eastAsia="Times New Roman" w:hAnsiTheme="majorHAnsi" w:cs="Arial"/>
      <w:bCs/>
      <w:color w:val="00245D" w:themeColor="text1"/>
      <w:kern w:val="32"/>
      <w:sz w:val="32"/>
      <w:szCs w:val="32"/>
      <w:lang w:eastAsia="en-GB"/>
    </w:rPr>
  </w:style>
  <w:style w:type="paragraph" w:styleId="Heading2">
    <w:name w:val="heading 2"/>
    <w:basedOn w:val="Normal"/>
    <w:next w:val="Normal"/>
    <w:link w:val="Heading2Char"/>
    <w:uiPriority w:val="9"/>
    <w:unhideWhenUsed/>
    <w:qFormat/>
    <w:rsid w:val="002D3461"/>
    <w:pPr>
      <w:keepNext/>
      <w:keepLines/>
      <w:numPr>
        <w:ilvl w:val="1"/>
        <w:numId w:val="1"/>
      </w:numPr>
      <w:spacing w:before="360"/>
      <w:jc w:val="left"/>
      <w:outlineLvl w:val="1"/>
    </w:pPr>
    <w:rPr>
      <w:rFonts w:asciiTheme="majorHAnsi" w:eastAsiaTheme="majorEastAsia" w:hAnsiTheme="majorHAnsi" w:cstheme="majorBidi"/>
      <w:color w:val="00245D" w:themeColor="text1"/>
      <w:sz w:val="28"/>
      <w:szCs w:val="26"/>
    </w:rPr>
  </w:style>
  <w:style w:type="paragraph" w:styleId="Heading3">
    <w:name w:val="heading 3"/>
    <w:basedOn w:val="Normal"/>
    <w:next w:val="Normal"/>
    <w:link w:val="Heading3Char"/>
    <w:uiPriority w:val="9"/>
    <w:unhideWhenUsed/>
    <w:qFormat/>
    <w:rsid w:val="002D3461"/>
    <w:pPr>
      <w:keepNext/>
      <w:keepLines/>
      <w:numPr>
        <w:ilvl w:val="2"/>
        <w:numId w:val="1"/>
      </w:numPr>
      <w:outlineLvl w:val="2"/>
    </w:pPr>
    <w:rPr>
      <w:rFonts w:asciiTheme="majorHAnsi" w:eastAsiaTheme="majorEastAsia" w:hAnsiTheme="majorHAnsi" w:cstheme="majorBidi"/>
      <w:color w:val="00245D" w:themeColor="text1"/>
      <w:sz w:val="24"/>
      <w:szCs w:val="24"/>
    </w:rPr>
  </w:style>
  <w:style w:type="paragraph" w:styleId="Heading4">
    <w:name w:val="heading 4"/>
    <w:basedOn w:val="Normal"/>
    <w:next w:val="Normal"/>
    <w:link w:val="Heading4Char"/>
    <w:uiPriority w:val="9"/>
    <w:unhideWhenUsed/>
    <w:rsid w:val="002D3461"/>
    <w:pPr>
      <w:keepNext/>
      <w:keepLines/>
      <w:numPr>
        <w:ilvl w:val="3"/>
        <w:numId w:val="1"/>
      </w:numPr>
      <w:spacing w:before="40" w:after="0"/>
      <w:outlineLvl w:val="3"/>
    </w:pPr>
    <w:rPr>
      <w:rFonts w:asciiTheme="majorHAnsi" w:eastAsiaTheme="majorEastAsia" w:hAnsiTheme="majorHAnsi" w:cstheme="majorBidi"/>
      <w:i/>
      <w:iCs/>
      <w:color w:val="745196" w:themeColor="accent1" w:themeShade="BF"/>
    </w:rPr>
  </w:style>
  <w:style w:type="paragraph" w:styleId="Heading5">
    <w:name w:val="heading 5"/>
    <w:basedOn w:val="Normal"/>
    <w:next w:val="Normal"/>
    <w:link w:val="Heading5Char"/>
    <w:uiPriority w:val="9"/>
    <w:semiHidden/>
    <w:unhideWhenUsed/>
    <w:rsid w:val="002D3461"/>
    <w:pPr>
      <w:keepNext/>
      <w:keepLines/>
      <w:numPr>
        <w:ilvl w:val="4"/>
        <w:numId w:val="1"/>
      </w:numPr>
      <w:spacing w:before="40" w:after="0"/>
      <w:outlineLvl w:val="4"/>
    </w:pPr>
    <w:rPr>
      <w:rFonts w:asciiTheme="majorHAnsi" w:eastAsiaTheme="majorEastAsia" w:hAnsiTheme="majorHAnsi" w:cstheme="majorBidi"/>
      <w:color w:val="745196" w:themeColor="accent1" w:themeShade="BF"/>
    </w:rPr>
  </w:style>
  <w:style w:type="paragraph" w:styleId="Heading6">
    <w:name w:val="heading 6"/>
    <w:basedOn w:val="Normal"/>
    <w:next w:val="Normal"/>
    <w:link w:val="Heading6Char"/>
    <w:uiPriority w:val="9"/>
    <w:semiHidden/>
    <w:unhideWhenUsed/>
    <w:qFormat/>
    <w:rsid w:val="002D3461"/>
    <w:pPr>
      <w:keepNext/>
      <w:keepLines/>
      <w:numPr>
        <w:ilvl w:val="5"/>
        <w:numId w:val="1"/>
      </w:numPr>
      <w:spacing w:before="40" w:after="0"/>
      <w:outlineLvl w:val="5"/>
    </w:pPr>
    <w:rPr>
      <w:rFonts w:asciiTheme="majorHAnsi" w:eastAsiaTheme="majorEastAsia" w:hAnsiTheme="majorHAnsi" w:cstheme="majorBidi"/>
      <w:color w:val="4D3664" w:themeColor="accent1" w:themeShade="7F"/>
    </w:rPr>
  </w:style>
  <w:style w:type="paragraph" w:styleId="Heading7">
    <w:name w:val="heading 7"/>
    <w:basedOn w:val="Normal"/>
    <w:next w:val="Normal"/>
    <w:link w:val="Heading7Char"/>
    <w:uiPriority w:val="9"/>
    <w:semiHidden/>
    <w:unhideWhenUsed/>
    <w:qFormat/>
    <w:rsid w:val="002D3461"/>
    <w:pPr>
      <w:keepNext/>
      <w:keepLines/>
      <w:numPr>
        <w:ilvl w:val="6"/>
        <w:numId w:val="1"/>
      </w:numPr>
      <w:spacing w:before="40" w:after="0"/>
      <w:outlineLvl w:val="6"/>
    </w:pPr>
    <w:rPr>
      <w:rFonts w:asciiTheme="majorHAnsi" w:eastAsiaTheme="majorEastAsia" w:hAnsiTheme="majorHAnsi" w:cstheme="majorBidi"/>
      <w:i/>
      <w:iCs/>
      <w:color w:val="4D3664" w:themeColor="accent1" w:themeShade="7F"/>
    </w:rPr>
  </w:style>
  <w:style w:type="paragraph" w:styleId="Heading8">
    <w:name w:val="heading 8"/>
    <w:basedOn w:val="Normal"/>
    <w:next w:val="Normal"/>
    <w:link w:val="Heading8Char"/>
    <w:uiPriority w:val="9"/>
    <w:semiHidden/>
    <w:unhideWhenUsed/>
    <w:qFormat/>
    <w:rsid w:val="002D3461"/>
    <w:pPr>
      <w:keepNext/>
      <w:keepLines/>
      <w:numPr>
        <w:ilvl w:val="7"/>
        <w:numId w:val="1"/>
      </w:numPr>
      <w:spacing w:before="40" w:after="0"/>
      <w:outlineLvl w:val="7"/>
    </w:pPr>
    <w:rPr>
      <w:rFonts w:asciiTheme="majorHAnsi" w:eastAsiaTheme="majorEastAsia" w:hAnsiTheme="majorHAnsi" w:cstheme="majorBidi"/>
      <w:color w:val="003C9C" w:themeColor="text1" w:themeTint="D8"/>
      <w:sz w:val="21"/>
      <w:szCs w:val="21"/>
    </w:rPr>
  </w:style>
  <w:style w:type="paragraph" w:styleId="Heading9">
    <w:name w:val="heading 9"/>
    <w:basedOn w:val="Normal"/>
    <w:next w:val="Normal"/>
    <w:link w:val="Heading9Char"/>
    <w:uiPriority w:val="9"/>
    <w:semiHidden/>
    <w:unhideWhenUsed/>
    <w:qFormat/>
    <w:rsid w:val="002D3461"/>
    <w:pPr>
      <w:keepNext/>
      <w:keepLines/>
      <w:numPr>
        <w:ilvl w:val="8"/>
        <w:numId w:val="1"/>
      </w:numPr>
      <w:spacing w:before="40" w:after="0"/>
      <w:outlineLvl w:val="8"/>
    </w:pPr>
    <w:rPr>
      <w:rFonts w:asciiTheme="majorHAnsi" w:eastAsiaTheme="majorEastAsia" w:hAnsiTheme="majorHAnsi" w:cstheme="majorBidi"/>
      <w:i/>
      <w:iCs/>
      <w:color w:val="003C9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461"/>
    <w:rPr>
      <w:rFonts w:asciiTheme="majorHAnsi" w:eastAsia="Times New Roman" w:hAnsiTheme="majorHAnsi" w:cs="Arial"/>
      <w:bCs/>
      <w:color w:val="00245D" w:themeColor="text1"/>
      <w:kern w:val="32"/>
      <w:sz w:val="32"/>
      <w:szCs w:val="32"/>
      <w:lang w:eastAsia="en-GB"/>
    </w:rPr>
  </w:style>
  <w:style w:type="character" w:customStyle="1" w:styleId="Heading2Char">
    <w:name w:val="Heading 2 Char"/>
    <w:basedOn w:val="DefaultParagraphFont"/>
    <w:link w:val="Heading2"/>
    <w:uiPriority w:val="9"/>
    <w:rsid w:val="002D3461"/>
    <w:rPr>
      <w:rFonts w:asciiTheme="majorHAnsi" w:eastAsiaTheme="majorEastAsia" w:hAnsiTheme="majorHAnsi" w:cstheme="majorBidi"/>
      <w:color w:val="00245D" w:themeColor="text1"/>
      <w:sz w:val="28"/>
      <w:szCs w:val="26"/>
    </w:rPr>
  </w:style>
  <w:style w:type="character" w:customStyle="1" w:styleId="Heading3Char">
    <w:name w:val="Heading 3 Char"/>
    <w:basedOn w:val="DefaultParagraphFont"/>
    <w:link w:val="Heading3"/>
    <w:uiPriority w:val="9"/>
    <w:rsid w:val="002D3461"/>
    <w:rPr>
      <w:rFonts w:asciiTheme="majorHAnsi" w:eastAsiaTheme="majorEastAsia" w:hAnsiTheme="majorHAnsi" w:cstheme="majorBidi"/>
      <w:color w:val="00245D" w:themeColor="text1"/>
      <w:sz w:val="24"/>
      <w:szCs w:val="24"/>
    </w:rPr>
  </w:style>
  <w:style w:type="character" w:customStyle="1" w:styleId="Heading4Char">
    <w:name w:val="Heading 4 Char"/>
    <w:basedOn w:val="DefaultParagraphFont"/>
    <w:link w:val="Heading4"/>
    <w:uiPriority w:val="9"/>
    <w:rsid w:val="002D3461"/>
    <w:rPr>
      <w:rFonts w:asciiTheme="majorHAnsi" w:eastAsiaTheme="majorEastAsia" w:hAnsiTheme="majorHAnsi" w:cstheme="majorBidi"/>
      <w:i/>
      <w:iCs/>
      <w:color w:val="745196" w:themeColor="accent1" w:themeShade="BF"/>
    </w:rPr>
  </w:style>
  <w:style w:type="character" w:customStyle="1" w:styleId="Heading5Char">
    <w:name w:val="Heading 5 Char"/>
    <w:basedOn w:val="DefaultParagraphFont"/>
    <w:link w:val="Heading5"/>
    <w:uiPriority w:val="9"/>
    <w:semiHidden/>
    <w:rsid w:val="002D3461"/>
    <w:rPr>
      <w:rFonts w:asciiTheme="majorHAnsi" w:eastAsiaTheme="majorEastAsia" w:hAnsiTheme="majorHAnsi" w:cstheme="majorBidi"/>
      <w:color w:val="745196" w:themeColor="accent1" w:themeShade="BF"/>
    </w:rPr>
  </w:style>
  <w:style w:type="character" w:customStyle="1" w:styleId="Heading6Char">
    <w:name w:val="Heading 6 Char"/>
    <w:basedOn w:val="DefaultParagraphFont"/>
    <w:link w:val="Heading6"/>
    <w:uiPriority w:val="9"/>
    <w:semiHidden/>
    <w:rsid w:val="002D3461"/>
    <w:rPr>
      <w:rFonts w:asciiTheme="majorHAnsi" w:eastAsiaTheme="majorEastAsia" w:hAnsiTheme="majorHAnsi" w:cstheme="majorBidi"/>
      <w:color w:val="4D3664" w:themeColor="accent1" w:themeShade="7F"/>
    </w:rPr>
  </w:style>
  <w:style w:type="character" w:customStyle="1" w:styleId="Heading7Char">
    <w:name w:val="Heading 7 Char"/>
    <w:basedOn w:val="DefaultParagraphFont"/>
    <w:link w:val="Heading7"/>
    <w:uiPriority w:val="9"/>
    <w:semiHidden/>
    <w:rsid w:val="002D3461"/>
    <w:rPr>
      <w:rFonts w:asciiTheme="majorHAnsi" w:eastAsiaTheme="majorEastAsia" w:hAnsiTheme="majorHAnsi" w:cstheme="majorBidi"/>
      <w:i/>
      <w:iCs/>
      <w:color w:val="4D3664" w:themeColor="accent1" w:themeShade="7F"/>
    </w:rPr>
  </w:style>
  <w:style w:type="character" w:customStyle="1" w:styleId="Heading8Char">
    <w:name w:val="Heading 8 Char"/>
    <w:basedOn w:val="DefaultParagraphFont"/>
    <w:link w:val="Heading8"/>
    <w:uiPriority w:val="9"/>
    <w:semiHidden/>
    <w:rsid w:val="002D3461"/>
    <w:rPr>
      <w:rFonts w:asciiTheme="majorHAnsi" w:eastAsiaTheme="majorEastAsia" w:hAnsiTheme="majorHAnsi" w:cstheme="majorBidi"/>
      <w:color w:val="003C9C" w:themeColor="text1" w:themeTint="D8"/>
      <w:sz w:val="21"/>
      <w:szCs w:val="21"/>
    </w:rPr>
  </w:style>
  <w:style w:type="character" w:customStyle="1" w:styleId="Heading9Char">
    <w:name w:val="Heading 9 Char"/>
    <w:basedOn w:val="DefaultParagraphFont"/>
    <w:link w:val="Heading9"/>
    <w:uiPriority w:val="9"/>
    <w:semiHidden/>
    <w:rsid w:val="002D3461"/>
    <w:rPr>
      <w:rFonts w:asciiTheme="majorHAnsi" w:eastAsiaTheme="majorEastAsia" w:hAnsiTheme="majorHAnsi" w:cstheme="majorBidi"/>
      <w:i/>
      <w:iCs/>
      <w:color w:val="003C9C" w:themeColor="text1" w:themeTint="D8"/>
      <w:sz w:val="21"/>
      <w:szCs w:val="21"/>
    </w:rPr>
  </w:style>
  <w:style w:type="paragraph" w:styleId="TOC1">
    <w:name w:val="toc 1"/>
    <w:basedOn w:val="Normal"/>
    <w:next w:val="Normal"/>
    <w:autoRedefine/>
    <w:uiPriority w:val="39"/>
    <w:unhideWhenUsed/>
    <w:rsid w:val="002D3461"/>
    <w:pPr>
      <w:tabs>
        <w:tab w:val="left" w:pos="284"/>
        <w:tab w:val="right" w:leader="dot" w:pos="9016"/>
      </w:tabs>
      <w:spacing w:before="120" w:after="0"/>
    </w:pPr>
    <w:rPr>
      <w:rFonts w:asciiTheme="majorHAnsi" w:hAnsiTheme="majorHAnsi"/>
      <w:color w:val="00245D"/>
    </w:rPr>
  </w:style>
  <w:style w:type="paragraph" w:styleId="TOC2">
    <w:name w:val="toc 2"/>
    <w:basedOn w:val="Normal"/>
    <w:next w:val="Normal"/>
    <w:autoRedefine/>
    <w:uiPriority w:val="39"/>
    <w:unhideWhenUsed/>
    <w:rsid w:val="002D3461"/>
    <w:pPr>
      <w:tabs>
        <w:tab w:val="left" w:pos="567"/>
        <w:tab w:val="right" w:leader="dot" w:pos="9016"/>
      </w:tabs>
      <w:spacing w:before="0" w:after="0"/>
      <w:ind w:left="142"/>
    </w:pPr>
    <w:rPr>
      <w:color w:val="5F6062"/>
    </w:rPr>
  </w:style>
  <w:style w:type="character" w:styleId="Hyperlink">
    <w:name w:val="Hyperlink"/>
    <w:basedOn w:val="DefaultParagraphFont"/>
    <w:uiPriority w:val="99"/>
    <w:unhideWhenUsed/>
    <w:rsid w:val="002D3461"/>
    <w:rPr>
      <w:color w:val="004CC5" w:themeColor="hyperlink"/>
      <w:u w:val="single"/>
    </w:rPr>
  </w:style>
  <w:style w:type="paragraph" w:styleId="NoSpacing">
    <w:name w:val="No Spacing"/>
    <w:link w:val="NoSpacingChar"/>
    <w:uiPriority w:val="1"/>
    <w:qFormat/>
    <w:rsid w:val="002D3461"/>
    <w:pPr>
      <w:spacing w:after="0" w:line="240" w:lineRule="auto"/>
      <w:jc w:val="both"/>
    </w:pPr>
  </w:style>
  <w:style w:type="paragraph" w:styleId="Title">
    <w:name w:val="Title"/>
    <w:basedOn w:val="Normal"/>
    <w:next w:val="Normal"/>
    <w:link w:val="TitleChar"/>
    <w:uiPriority w:val="10"/>
    <w:qFormat/>
    <w:rsid w:val="002D3461"/>
    <w:pPr>
      <w:spacing w:before="0"/>
      <w:contextualSpacing/>
      <w:jc w:val="left"/>
    </w:pPr>
    <w:rPr>
      <w:rFonts w:asciiTheme="majorHAnsi" w:eastAsiaTheme="majorEastAsia" w:hAnsiTheme="majorHAnsi" w:cstheme="majorBidi"/>
      <w:color w:val="00245D" w:themeColor="text1"/>
      <w:spacing w:val="-10"/>
      <w:kern w:val="28"/>
      <w:sz w:val="72"/>
      <w:szCs w:val="56"/>
    </w:rPr>
  </w:style>
  <w:style w:type="character" w:customStyle="1" w:styleId="TitleChar">
    <w:name w:val="Title Char"/>
    <w:basedOn w:val="DefaultParagraphFont"/>
    <w:link w:val="Title"/>
    <w:uiPriority w:val="10"/>
    <w:rsid w:val="002D3461"/>
    <w:rPr>
      <w:rFonts w:asciiTheme="majorHAnsi" w:eastAsiaTheme="majorEastAsia" w:hAnsiTheme="majorHAnsi" w:cstheme="majorBidi"/>
      <w:color w:val="00245D" w:themeColor="text1"/>
      <w:spacing w:val="-10"/>
      <w:kern w:val="28"/>
      <w:sz w:val="72"/>
      <w:szCs w:val="56"/>
    </w:rPr>
  </w:style>
  <w:style w:type="paragraph" w:styleId="Footer">
    <w:name w:val="footer"/>
    <w:basedOn w:val="Normal"/>
    <w:link w:val="FooterChar"/>
    <w:uiPriority w:val="99"/>
    <w:unhideWhenUsed/>
    <w:rsid w:val="002D3461"/>
    <w:pPr>
      <w:tabs>
        <w:tab w:val="center" w:pos="4513"/>
        <w:tab w:val="right" w:pos="9026"/>
      </w:tabs>
      <w:spacing w:after="0"/>
    </w:pPr>
  </w:style>
  <w:style w:type="character" w:customStyle="1" w:styleId="FooterChar">
    <w:name w:val="Footer Char"/>
    <w:basedOn w:val="DefaultParagraphFont"/>
    <w:link w:val="Footer"/>
    <w:uiPriority w:val="99"/>
    <w:rsid w:val="002D3461"/>
  </w:style>
  <w:style w:type="paragraph" w:styleId="Subtitle">
    <w:name w:val="Subtitle"/>
    <w:basedOn w:val="Normal"/>
    <w:next w:val="Normal"/>
    <w:link w:val="SubtitleChar"/>
    <w:uiPriority w:val="11"/>
    <w:qFormat/>
    <w:rsid w:val="002D3461"/>
    <w:pPr>
      <w:numPr>
        <w:ilvl w:val="1"/>
      </w:numPr>
      <w:spacing w:before="480" w:after="480"/>
      <w:contextualSpacing/>
      <w:jc w:val="left"/>
    </w:pPr>
    <w:rPr>
      <w:rFonts w:asciiTheme="majorHAnsi" w:eastAsiaTheme="minorEastAsia" w:hAnsiTheme="majorHAnsi"/>
      <w:color w:val="00245D" w:themeColor="text1"/>
      <w:sz w:val="40"/>
    </w:rPr>
  </w:style>
  <w:style w:type="character" w:customStyle="1" w:styleId="SubtitleChar">
    <w:name w:val="Subtitle Char"/>
    <w:basedOn w:val="DefaultParagraphFont"/>
    <w:link w:val="Subtitle"/>
    <w:uiPriority w:val="11"/>
    <w:rsid w:val="002D3461"/>
    <w:rPr>
      <w:rFonts w:asciiTheme="majorHAnsi" w:eastAsiaTheme="minorEastAsia" w:hAnsiTheme="majorHAnsi"/>
      <w:color w:val="00245D" w:themeColor="text1"/>
      <w:sz w:val="40"/>
    </w:rPr>
  </w:style>
  <w:style w:type="paragraph" w:customStyle="1" w:styleId="Subtitle2">
    <w:name w:val="Subtitle 2"/>
    <w:basedOn w:val="Normal"/>
    <w:link w:val="Subtitle2Char"/>
    <w:qFormat/>
    <w:rsid w:val="002D3461"/>
    <w:pPr>
      <w:spacing w:before="480" w:after="480"/>
    </w:pPr>
    <w:rPr>
      <w:rFonts w:asciiTheme="majorHAnsi" w:hAnsiTheme="majorHAnsi"/>
      <w:color w:val="5F6062" w:themeColor="accent5"/>
      <w:sz w:val="40"/>
    </w:rPr>
  </w:style>
  <w:style w:type="character" w:customStyle="1" w:styleId="Subtitle2Char">
    <w:name w:val="Subtitle 2 Char"/>
    <w:basedOn w:val="DefaultParagraphFont"/>
    <w:link w:val="Subtitle2"/>
    <w:rsid w:val="002D3461"/>
    <w:rPr>
      <w:rFonts w:asciiTheme="majorHAnsi" w:hAnsiTheme="majorHAnsi"/>
      <w:color w:val="5F6062" w:themeColor="accent5"/>
      <w:sz w:val="40"/>
    </w:rPr>
  </w:style>
  <w:style w:type="paragraph" w:styleId="ListParagraph">
    <w:name w:val="List Paragraph"/>
    <w:basedOn w:val="Normal"/>
    <w:qFormat/>
    <w:rsid w:val="002D3461"/>
    <w:pPr>
      <w:ind w:left="720"/>
      <w:contextualSpacing/>
    </w:pPr>
  </w:style>
  <w:style w:type="table" w:styleId="TableGrid">
    <w:name w:val="Table Grid"/>
    <w:basedOn w:val="TableNormal"/>
    <w:uiPriority w:val="59"/>
    <w:rsid w:val="002D3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2D3461"/>
  </w:style>
  <w:style w:type="table" w:customStyle="1" w:styleId="ENWL">
    <w:name w:val="ENWL"/>
    <w:basedOn w:val="TableNormal"/>
    <w:uiPriority w:val="48"/>
    <w:rsid w:val="00AD2F66"/>
    <w:pPr>
      <w:spacing w:before="100" w:beforeAutospacing="1" w:after="100" w:afterAutospacing="1" w:line="240" w:lineRule="auto"/>
    </w:p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left w:w="57" w:type="dxa"/>
        <w:bottom w:w="57" w:type="dxa"/>
        <w:right w:w="57" w:type="dxa"/>
      </w:tblCellMar>
    </w:tblPr>
    <w:tblStylePr w:type="firstRow">
      <w:pPr>
        <w:wordWrap/>
        <w:spacing w:beforeLines="0" w:beforeAutospacing="1" w:afterLines="0" w:afterAutospacing="1" w:line="240" w:lineRule="auto"/>
      </w:pPr>
      <w:rPr>
        <w:rFonts w:asciiTheme="minorHAnsi" w:hAnsiTheme="minorHAnsi"/>
        <w:b/>
        <w:bCs/>
        <w:color w:val="FFFFFF" w:themeColor="background1"/>
        <w:sz w:val="22"/>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00245D" w:themeFill="text1"/>
      </w:tcPr>
    </w:tblStylePr>
    <w:tblStylePr w:type="lastRow">
      <w:pPr>
        <w:wordWrap/>
        <w:spacing w:beforeLines="0" w:beforeAutospacing="1" w:afterLines="0" w:afterAutospacing="1" w:line="240" w:lineRule="auto"/>
      </w:pPr>
      <w:rPr>
        <w:b/>
        <w:bCs/>
      </w:rPr>
      <w:tblPr/>
      <w:tcPr>
        <w:tcBorders>
          <w:top w:val="double" w:sz="4" w:space="0" w:color="00245D" w:themeColor="text1"/>
          <w:bottom w:val="double" w:sz="4" w:space="0" w:color="00245D" w:themeColor="text1"/>
        </w:tcBorders>
      </w:tcPr>
    </w:tblStylePr>
    <w:tblStylePr w:type="firstCol">
      <w:rPr>
        <w:b w:val="0"/>
        <w:bCs/>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F2F2F2" w:themeFill="background1" w:themeFillShade="F2"/>
      </w:tcPr>
    </w:tblStylePr>
    <w:tblStylePr w:type="lastCol">
      <w:rPr>
        <w:b/>
        <w:bCs/>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FFFFF" w:themeFill="background1"/>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45D" w:themeColor="text1"/>
          <w:left w:val="nil"/>
        </w:tcBorders>
      </w:tcPr>
    </w:tblStylePr>
    <w:tblStylePr w:type="swCell">
      <w:tblPr/>
      <w:tcPr>
        <w:tcBorders>
          <w:top w:val="double" w:sz="4" w:space="0" w:color="00245D" w:themeColor="text1"/>
          <w:right w:val="nil"/>
        </w:tcBorders>
      </w:tcPr>
    </w:tblStylePr>
  </w:style>
  <w:style w:type="table" w:customStyle="1" w:styleId="TableGridLight1">
    <w:name w:val="Table Grid Light1"/>
    <w:basedOn w:val="TableNormal"/>
    <w:uiPriority w:val="40"/>
    <w:rsid w:val="00C64F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lank">
    <w:name w:val="Blank"/>
    <w:basedOn w:val="TableNormal"/>
    <w:uiPriority w:val="99"/>
    <w:rsid w:val="007B58D7"/>
    <w:pPr>
      <w:spacing w:before="100" w:beforeAutospacing="1" w:after="100" w:afterAutospacing="1" w:line="240" w:lineRule="auto"/>
    </w:pPr>
    <w:tblPr>
      <w:tblCellMar>
        <w:left w:w="0" w:type="dxa"/>
        <w:right w:w="0" w:type="dxa"/>
      </w:tblCellMar>
    </w:tblPr>
  </w:style>
  <w:style w:type="paragraph" w:styleId="Header">
    <w:name w:val="header"/>
    <w:basedOn w:val="Normal"/>
    <w:link w:val="HeaderChar"/>
    <w:uiPriority w:val="99"/>
    <w:unhideWhenUsed/>
    <w:rsid w:val="005F2AB6"/>
    <w:pPr>
      <w:tabs>
        <w:tab w:val="center" w:pos="4513"/>
        <w:tab w:val="right" w:pos="9026"/>
      </w:tabs>
      <w:spacing w:before="0" w:after="0"/>
    </w:pPr>
  </w:style>
  <w:style w:type="character" w:customStyle="1" w:styleId="HeaderChar">
    <w:name w:val="Header Char"/>
    <w:basedOn w:val="DefaultParagraphFont"/>
    <w:link w:val="Header"/>
    <w:uiPriority w:val="99"/>
    <w:rsid w:val="005F2AB6"/>
  </w:style>
  <w:style w:type="paragraph" w:styleId="BalloonText">
    <w:name w:val="Balloon Text"/>
    <w:basedOn w:val="Normal"/>
    <w:link w:val="BalloonTextChar"/>
    <w:uiPriority w:val="99"/>
    <w:semiHidden/>
    <w:unhideWhenUsed/>
    <w:rsid w:val="005F2AB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AB6"/>
    <w:rPr>
      <w:rFonts w:ascii="Tahoma" w:hAnsi="Tahoma" w:cs="Tahoma"/>
      <w:sz w:val="16"/>
      <w:szCs w:val="16"/>
    </w:rPr>
  </w:style>
  <w:style w:type="character" w:styleId="Strong">
    <w:name w:val="Strong"/>
    <w:basedOn w:val="DefaultParagraphFont"/>
    <w:uiPriority w:val="22"/>
    <w:qFormat/>
    <w:rsid w:val="00DF7807"/>
    <w:rPr>
      <w:b/>
      <w:bCs/>
    </w:rPr>
  </w:style>
  <w:style w:type="character" w:styleId="CommentReference">
    <w:name w:val="annotation reference"/>
    <w:basedOn w:val="DefaultParagraphFont"/>
    <w:uiPriority w:val="99"/>
    <w:semiHidden/>
    <w:unhideWhenUsed/>
    <w:rsid w:val="00FA3356"/>
    <w:rPr>
      <w:sz w:val="16"/>
      <w:szCs w:val="16"/>
    </w:rPr>
  </w:style>
  <w:style w:type="paragraph" w:styleId="CommentText">
    <w:name w:val="annotation text"/>
    <w:basedOn w:val="Normal"/>
    <w:link w:val="CommentTextChar"/>
    <w:uiPriority w:val="99"/>
    <w:semiHidden/>
    <w:unhideWhenUsed/>
    <w:rsid w:val="00FA3356"/>
    <w:rPr>
      <w:sz w:val="20"/>
      <w:szCs w:val="20"/>
    </w:rPr>
  </w:style>
  <w:style w:type="character" w:customStyle="1" w:styleId="CommentTextChar">
    <w:name w:val="Comment Text Char"/>
    <w:basedOn w:val="DefaultParagraphFont"/>
    <w:link w:val="CommentText"/>
    <w:uiPriority w:val="99"/>
    <w:semiHidden/>
    <w:rsid w:val="00FA3356"/>
    <w:rPr>
      <w:sz w:val="20"/>
      <w:szCs w:val="20"/>
    </w:rPr>
  </w:style>
  <w:style w:type="paragraph" w:styleId="CommentSubject">
    <w:name w:val="annotation subject"/>
    <w:basedOn w:val="CommentText"/>
    <w:next w:val="CommentText"/>
    <w:link w:val="CommentSubjectChar"/>
    <w:uiPriority w:val="99"/>
    <w:semiHidden/>
    <w:unhideWhenUsed/>
    <w:rsid w:val="00FA3356"/>
    <w:rPr>
      <w:b/>
      <w:bCs/>
    </w:rPr>
  </w:style>
  <w:style w:type="character" w:customStyle="1" w:styleId="CommentSubjectChar">
    <w:name w:val="Comment Subject Char"/>
    <w:basedOn w:val="CommentTextChar"/>
    <w:link w:val="CommentSubject"/>
    <w:uiPriority w:val="99"/>
    <w:semiHidden/>
    <w:rsid w:val="00FA3356"/>
    <w:rPr>
      <w:b/>
      <w:bCs/>
      <w:sz w:val="20"/>
      <w:szCs w:val="20"/>
    </w:rPr>
  </w:style>
  <w:style w:type="character" w:styleId="FollowedHyperlink">
    <w:name w:val="FollowedHyperlink"/>
    <w:basedOn w:val="DefaultParagraphFont"/>
    <w:uiPriority w:val="99"/>
    <w:semiHidden/>
    <w:unhideWhenUsed/>
    <w:rsid w:val="00A85294"/>
    <w:rPr>
      <w:color w:val="9C7DB9" w:themeColor="followedHyperlink"/>
      <w:u w:val="single"/>
    </w:rPr>
  </w:style>
  <w:style w:type="paragraph" w:customStyle="1" w:styleId="Default">
    <w:name w:val="Default"/>
    <w:rsid w:val="006D24D1"/>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3A1F1E"/>
    <w:rPr>
      <w:color w:val="808080"/>
      <w:shd w:val="clear" w:color="auto" w:fill="E6E6E6"/>
    </w:rPr>
  </w:style>
  <w:style w:type="paragraph" w:styleId="FootnoteText">
    <w:name w:val="footnote text"/>
    <w:basedOn w:val="Normal"/>
    <w:link w:val="FootnoteTextChar"/>
    <w:uiPriority w:val="99"/>
    <w:semiHidden/>
    <w:unhideWhenUsed/>
    <w:rsid w:val="00304487"/>
    <w:pPr>
      <w:spacing w:before="0" w:after="0"/>
    </w:pPr>
    <w:rPr>
      <w:sz w:val="20"/>
      <w:szCs w:val="20"/>
    </w:rPr>
  </w:style>
  <w:style w:type="character" w:customStyle="1" w:styleId="FootnoteTextChar">
    <w:name w:val="Footnote Text Char"/>
    <w:basedOn w:val="DefaultParagraphFont"/>
    <w:link w:val="FootnoteText"/>
    <w:uiPriority w:val="99"/>
    <w:semiHidden/>
    <w:rsid w:val="00304487"/>
    <w:rPr>
      <w:sz w:val="20"/>
      <w:szCs w:val="20"/>
    </w:rPr>
  </w:style>
  <w:style w:type="character" w:styleId="FootnoteReference">
    <w:name w:val="footnote reference"/>
    <w:basedOn w:val="DefaultParagraphFont"/>
    <w:uiPriority w:val="99"/>
    <w:semiHidden/>
    <w:unhideWhenUsed/>
    <w:rsid w:val="00304487"/>
    <w:rPr>
      <w:vertAlign w:val="superscript"/>
    </w:rPr>
  </w:style>
  <w:style w:type="paragraph" w:styleId="Revision">
    <w:name w:val="Revision"/>
    <w:hidden/>
    <w:uiPriority w:val="99"/>
    <w:semiHidden/>
    <w:rsid w:val="00A10322"/>
    <w:pPr>
      <w:spacing w:after="0" w:line="240" w:lineRule="auto"/>
    </w:pPr>
  </w:style>
  <w:style w:type="paragraph" w:customStyle="1" w:styleId="xmsonormal">
    <w:name w:val="x_msonormal"/>
    <w:basedOn w:val="Normal"/>
    <w:rsid w:val="00664C29"/>
    <w:pPr>
      <w:spacing w:before="0" w:after="0"/>
      <w:jc w:val="left"/>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3917">
      <w:bodyDiv w:val="1"/>
      <w:marLeft w:val="0"/>
      <w:marRight w:val="0"/>
      <w:marTop w:val="0"/>
      <w:marBottom w:val="0"/>
      <w:divBdr>
        <w:top w:val="none" w:sz="0" w:space="0" w:color="auto"/>
        <w:left w:val="none" w:sz="0" w:space="0" w:color="auto"/>
        <w:bottom w:val="none" w:sz="0" w:space="0" w:color="auto"/>
        <w:right w:val="none" w:sz="0" w:space="0" w:color="auto"/>
      </w:divBdr>
    </w:div>
    <w:div w:id="77093939">
      <w:bodyDiv w:val="1"/>
      <w:marLeft w:val="0"/>
      <w:marRight w:val="0"/>
      <w:marTop w:val="0"/>
      <w:marBottom w:val="0"/>
      <w:divBdr>
        <w:top w:val="none" w:sz="0" w:space="0" w:color="auto"/>
        <w:left w:val="none" w:sz="0" w:space="0" w:color="auto"/>
        <w:bottom w:val="none" w:sz="0" w:space="0" w:color="auto"/>
        <w:right w:val="none" w:sz="0" w:space="0" w:color="auto"/>
      </w:divBdr>
    </w:div>
    <w:div w:id="155533085">
      <w:bodyDiv w:val="1"/>
      <w:marLeft w:val="0"/>
      <w:marRight w:val="0"/>
      <w:marTop w:val="0"/>
      <w:marBottom w:val="0"/>
      <w:divBdr>
        <w:top w:val="none" w:sz="0" w:space="0" w:color="auto"/>
        <w:left w:val="none" w:sz="0" w:space="0" w:color="auto"/>
        <w:bottom w:val="none" w:sz="0" w:space="0" w:color="auto"/>
        <w:right w:val="none" w:sz="0" w:space="0" w:color="auto"/>
      </w:divBdr>
    </w:div>
    <w:div w:id="555357772">
      <w:bodyDiv w:val="1"/>
      <w:marLeft w:val="0"/>
      <w:marRight w:val="0"/>
      <w:marTop w:val="0"/>
      <w:marBottom w:val="0"/>
      <w:divBdr>
        <w:top w:val="none" w:sz="0" w:space="0" w:color="auto"/>
        <w:left w:val="none" w:sz="0" w:space="0" w:color="auto"/>
        <w:bottom w:val="none" w:sz="0" w:space="0" w:color="auto"/>
        <w:right w:val="none" w:sz="0" w:space="0" w:color="auto"/>
      </w:divBdr>
    </w:div>
    <w:div w:id="654720431">
      <w:bodyDiv w:val="1"/>
      <w:marLeft w:val="0"/>
      <w:marRight w:val="0"/>
      <w:marTop w:val="0"/>
      <w:marBottom w:val="0"/>
      <w:divBdr>
        <w:top w:val="none" w:sz="0" w:space="0" w:color="auto"/>
        <w:left w:val="none" w:sz="0" w:space="0" w:color="auto"/>
        <w:bottom w:val="none" w:sz="0" w:space="0" w:color="auto"/>
        <w:right w:val="none" w:sz="0" w:space="0" w:color="auto"/>
      </w:divBdr>
    </w:div>
    <w:div w:id="762453088">
      <w:bodyDiv w:val="1"/>
      <w:marLeft w:val="0"/>
      <w:marRight w:val="0"/>
      <w:marTop w:val="0"/>
      <w:marBottom w:val="0"/>
      <w:divBdr>
        <w:top w:val="none" w:sz="0" w:space="0" w:color="auto"/>
        <w:left w:val="none" w:sz="0" w:space="0" w:color="auto"/>
        <w:bottom w:val="none" w:sz="0" w:space="0" w:color="auto"/>
        <w:right w:val="none" w:sz="0" w:space="0" w:color="auto"/>
      </w:divBdr>
    </w:div>
    <w:div w:id="777988178">
      <w:bodyDiv w:val="1"/>
      <w:marLeft w:val="0"/>
      <w:marRight w:val="0"/>
      <w:marTop w:val="0"/>
      <w:marBottom w:val="0"/>
      <w:divBdr>
        <w:top w:val="none" w:sz="0" w:space="0" w:color="auto"/>
        <w:left w:val="none" w:sz="0" w:space="0" w:color="auto"/>
        <w:bottom w:val="none" w:sz="0" w:space="0" w:color="auto"/>
        <w:right w:val="none" w:sz="0" w:space="0" w:color="auto"/>
      </w:divBdr>
    </w:div>
    <w:div w:id="831602521">
      <w:bodyDiv w:val="1"/>
      <w:marLeft w:val="0"/>
      <w:marRight w:val="0"/>
      <w:marTop w:val="0"/>
      <w:marBottom w:val="0"/>
      <w:divBdr>
        <w:top w:val="none" w:sz="0" w:space="0" w:color="auto"/>
        <w:left w:val="none" w:sz="0" w:space="0" w:color="auto"/>
        <w:bottom w:val="none" w:sz="0" w:space="0" w:color="auto"/>
        <w:right w:val="none" w:sz="0" w:space="0" w:color="auto"/>
      </w:divBdr>
    </w:div>
    <w:div w:id="1053844786">
      <w:bodyDiv w:val="1"/>
      <w:marLeft w:val="0"/>
      <w:marRight w:val="0"/>
      <w:marTop w:val="0"/>
      <w:marBottom w:val="0"/>
      <w:divBdr>
        <w:top w:val="none" w:sz="0" w:space="0" w:color="auto"/>
        <w:left w:val="none" w:sz="0" w:space="0" w:color="auto"/>
        <w:bottom w:val="none" w:sz="0" w:space="0" w:color="auto"/>
        <w:right w:val="none" w:sz="0" w:space="0" w:color="auto"/>
      </w:divBdr>
    </w:div>
    <w:div w:id="1135412544">
      <w:bodyDiv w:val="1"/>
      <w:marLeft w:val="0"/>
      <w:marRight w:val="0"/>
      <w:marTop w:val="0"/>
      <w:marBottom w:val="0"/>
      <w:divBdr>
        <w:top w:val="none" w:sz="0" w:space="0" w:color="auto"/>
        <w:left w:val="none" w:sz="0" w:space="0" w:color="auto"/>
        <w:bottom w:val="none" w:sz="0" w:space="0" w:color="auto"/>
        <w:right w:val="none" w:sz="0" w:space="0" w:color="auto"/>
      </w:divBdr>
    </w:div>
    <w:div w:id="1405447898">
      <w:bodyDiv w:val="1"/>
      <w:marLeft w:val="0"/>
      <w:marRight w:val="0"/>
      <w:marTop w:val="0"/>
      <w:marBottom w:val="0"/>
      <w:divBdr>
        <w:top w:val="none" w:sz="0" w:space="0" w:color="auto"/>
        <w:left w:val="none" w:sz="0" w:space="0" w:color="auto"/>
        <w:bottom w:val="none" w:sz="0" w:space="0" w:color="auto"/>
        <w:right w:val="none" w:sz="0" w:space="0" w:color="auto"/>
      </w:divBdr>
    </w:div>
    <w:div w:id="1407993497">
      <w:bodyDiv w:val="1"/>
      <w:marLeft w:val="0"/>
      <w:marRight w:val="0"/>
      <w:marTop w:val="0"/>
      <w:marBottom w:val="0"/>
      <w:divBdr>
        <w:top w:val="none" w:sz="0" w:space="0" w:color="auto"/>
        <w:left w:val="none" w:sz="0" w:space="0" w:color="auto"/>
        <w:bottom w:val="none" w:sz="0" w:space="0" w:color="auto"/>
        <w:right w:val="none" w:sz="0" w:space="0" w:color="auto"/>
      </w:divBdr>
    </w:div>
    <w:div w:id="1642687465">
      <w:bodyDiv w:val="1"/>
      <w:marLeft w:val="0"/>
      <w:marRight w:val="0"/>
      <w:marTop w:val="0"/>
      <w:marBottom w:val="0"/>
      <w:divBdr>
        <w:top w:val="none" w:sz="0" w:space="0" w:color="auto"/>
        <w:left w:val="none" w:sz="0" w:space="0" w:color="auto"/>
        <w:bottom w:val="none" w:sz="0" w:space="0" w:color="auto"/>
        <w:right w:val="none" w:sz="0" w:space="0" w:color="auto"/>
      </w:divBdr>
    </w:div>
    <w:div w:id="1748571886">
      <w:bodyDiv w:val="1"/>
      <w:marLeft w:val="0"/>
      <w:marRight w:val="0"/>
      <w:marTop w:val="0"/>
      <w:marBottom w:val="0"/>
      <w:divBdr>
        <w:top w:val="none" w:sz="0" w:space="0" w:color="auto"/>
        <w:left w:val="none" w:sz="0" w:space="0" w:color="auto"/>
        <w:bottom w:val="none" w:sz="0" w:space="0" w:color="auto"/>
        <w:right w:val="none" w:sz="0" w:space="0" w:color="auto"/>
      </w:divBdr>
    </w:div>
    <w:div w:id="207102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fgem.gov.uk/electricity/transmission-networks/charging/targeted-charging-review-significant-code-review" TargetMode="External"/><Relationship Id="rId18" Type="http://schemas.openxmlformats.org/officeDocument/2006/relationships/hyperlink" Target="https://www.gov.uk/government/consultations/energy-code-reform-governance-framework" TargetMode="External"/><Relationship Id="rId26" Type="http://schemas.openxmlformats.org/officeDocument/2006/relationships/hyperlink" Target="https://smartenergycodecompany.co.uk/modifications/allowing-generation-licence-holders-to-apply-export-mpans/"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066722/energy-code-reform-consultation-government-response.pdf" TargetMode="External"/><Relationship Id="rId7" Type="http://schemas.openxmlformats.org/officeDocument/2006/relationships/settings" Target="settings.xml"/><Relationship Id="rId12" Type="http://schemas.openxmlformats.org/officeDocument/2006/relationships/hyperlink" Target="https://email.ofgem.gov.uk/1QCB-7LPWM-MRSLTY-4LZMEF-1/c.aspx?_externalContentRedirect=https%3A%2F%2Fwww.ofgem.gov.uk%2Fpublications%2Fconsultation-our-proposal-take-forward-reform-distribution-use-system-charges-under-separate-significant-code-review-revised-timescales%3Futm_medium%3Demail%26utm_source%3DdotMailer%26utm_campaign%3DDaily-Alert_01-11-2021%26utm_content%3DConsultation%2Bon%2Bour%2Bproposal%2Bto%2Btake%2Bforward%2Bthe%2Breform%2Bof%2BDistribution%2BUse%2Bof%2BSystem%2Bcharges%2Bunder%2Ba%2Bseparate%2BSignificant%2BCode%2BReview%2Bon%2Brevised%2Btimescales" TargetMode="External"/><Relationship Id="rId17" Type="http://schemas.openxmlformats.org/officeDocument/2006/relationships/hyperlink" Target="https://assets.publishing.service.gov.uk/government/uploads/system/uploads/attachment_data/file/943756/reforming-energy-code-summary-responses-.pdf" TargetMode="External"/><Relationship Id="rId25" Type="http://schemas.openxmlformats.org/officeDocument/2006/relationships/hyperlink" Target="https://www.gov.uk/government/news/millions-to-receive-350-boost-to-help-with-rising-energy-costs"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828302/reforming-energy-industry-codes-consultation.pdf" TargetMode="External"/><Relationship Id="rId20" Type="http://schemas.openxmlformats.org/officeDocument/2006/relationships/hyperlink" Target="https://www.ofgem.gov.uk/publications/consultation-and-workshop-design-and-delivery-energy-code-reform?utm_medium=email&amp;utm_source=dotMailer&amp;utm_campaign=Daily-Alert_20-07-2021&amp;utm_content=Consultation+and+workshop+on+the+Design+and+Delivery+of+the+Energy+Code+Reform&amp;dm_i=1QCB,7GPNM,KDYUUE,UC6WN,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https://www.ofgem.gov.uk/electricity/transmission-networks/charging/reform-network-access-and-forward-looking-charges" TargetMode="External"/><Relationship Id="rId24" Type="http://schemas.openxmlformats.org/officeDocument/2006/relationships/hyperlink" Target="https://www.ofgem.gov.uk/publications/ofgem-update-stabilising-energy-market"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916491/energy-code-review-invitation-to-workshop.pdf" TargetMode="External"/><Relationship Id="rId23" Type="http://schemas.openxmlformats.org/officeDocument/2006/relationships/hyperlink" Target="https://www.gov.uk/government/speeches/pm-liz-trusss-opening-speech-on-the-energy-policy-debat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1004010/energy-code-reform-consultation-impact-assessm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nergy-network-codes-review" TargetMode="External"/><Relationship Id="rId22" Type="http://schemas.openxmlformats.org/officeDocument/2006/relationships/hyperlink" Target="https://www.ofgem.gov.uk/publications/distribution-use-system-charges-significant-code-review-launch"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NW">
      <a:dk1>
        <a:srgbClr val="00245D"/>
      </a:dk1>
      <a:lt1>
        <a:srgbClr val="FFFFFF"/>
      </a:lt1>
      <a:dk2>
        <a:srgbClr val="7AC143"/>
      </a:dk2>
      <a:lt2>
        <a:srgbClr val="6CADDF"/>
      </a:lt2>
      <a:accent1>
        <a:srgbClr val="9C7DB9"/>
      </a:accent1>
      <a:accent2>
        <a:srgbClr val="F58426"/>
      </a:accent2>
      <a:accent3>
        <a:srgbClr val="DB0962"/>
      </a:accent3>
      <a:accent4>
        <a:srgbClr val="22BCB9"/>
      </a:accent4>
      <a:accent5>
        <a:srgbClr val="5F6062"/>
      </a:accent5>
      <a:accent6>
        <a:srgbClr val="A1A1A4"/>
      </a:accent6>
      <a:hlink>
        <a:srgbClr val="004CC5"/>
      </a:hlink>
      <a:folHlink>
        <a:srgbClr val="9C7DB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rtlCol="0" anchor="ctr"/>
      <a:lstStyle/>
      <a:style>
        <a:lnRef idx="2">
          <a:schemeClr val="dk1">
            <a:shade val="50000"/>
          </a:schemeClr>
        </a:lnRef>
        <a:fillRef idx="1">
          <a:schemeClr val="dk1"/>
        </a:fillRef>
        <a:effectRef idx="0">
          <a:schemeClr val="dk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6F8F8950BDB4F867D2A4EF86A69A6" ma:contentTypeVersion="14" ma:contentTypeDescription="Create a new document." ma:contentTypeScope="" ma:versionID="352a0f520205305e00dea8531ce208eb">
  <xsd:schema xmlns:xsd="http://www.w3.org/2001/XMLSchema" xmlns:xs="http://www.w3.org/2001/XMLSchema" xmlns:p="http://schemas.microsoft.com/office/2006/metadata/properties" xmlns:ns3="8ee83236-fdac-4f9a-9e29-1b313e18c3d5" xmlns:ns4="8015c716-7638-4fbc-b740-dc4a67044737" targetNamespace="http://schemas.microsoft.com/office/2006/metadata/properties" ma:root="true" ma:fieldsID="fc7451c8923bffd6f08320c5da252b70" ns3:_="" ns4:_="">
    <xsd:import namespace="8ee83236-fdac-4f9a-9e29-1b313e18c3d5"/>
    <xsd:import namespace="8015c716-7638-4fbc-b740-dc4a67044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83236-fdac-4f9a-9e29-1b313e18c3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5c716-7638-4fbc-b740-dc4a670447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FDA3B-9617-4D56-B9D0-3C16847E5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83236-fdac-4f9a-9e29-1b313e18c3d5"/>
    <ds:schemaRef ds:uri="8015c716-7638-4fbc-b740-dc4a67044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9A533-9D5F-4C94-9953-8997F8DCABFA}">
  <ds:schemaRefs>
    <ds:schemaRef ds:uri="http://schemas.microsoft.com/sharepoint/v3/contenttype/forms"/>
  </ds:schemaRefs>
</ds:datastoreItem>
</file>

<file path=customXml/itemProps3.xml><?xml version="1.0" encoding="utf-8"?>
<ds:datastoreItem xmlns:ds="http://schemas.openxmlformats.org/officeDocument/2006/customXml" ds:itemID="{45303CBC-0317-455B-ADF9-F497B8A2731A}">
  <ds:schemaRefs>
    <ds:schemaRef ds:uri="http://schemas.microsoft.com/office/2006/documentManagement/types"/>
    <ds:schemaRef ds:uri="http://schemas.microsoft.com/office/2006/metadata/properties"/>
    <ds:schemaRef ds:uri="8015c716-7638-4fbc-b740-dc4a67044737"/>
    <ds:schemaRef ds:uri="http://purl.org/dc/terms/"/>
    <ds:schemaRef ds:uri="http://schemas.openxmlformats.org/package/2006/metadata/core-properties"/>
    <ds:schemaRef ds:uri="8ee83236-fdac-4f9a-9e29-1b313e18c3d5"/>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F2A7837B-93C5-4F75-A734-5F88ED6C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4701</Words>
  <Characters>26797</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Electricity North West Ltd</Company>
  <LinksUpToDate>false</LinksUpToDate>
  <CharactersWithSpaces>31436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Oliver</dc:creator>
  <cp:lastModifiedBy>Seagrave, Helen</cp:lastModifiedBy>
  <cp:revision>2</cp:revision>
  <dcterms:created xsi:type="dcterms:W3CDTF">2022-09-15T10:27:00Z</dcterms:created>
  <dcterms:modified xsi:type="dcterms:W3CDTF">2022-09-15T10:27:00Z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0x0101005A86F8F8950BDB4F867D2A4EF86A69A6</vt:lpwstr>
  </property>
</Properties>
</file>